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90" w:lineRule="atLeast"/>
        <w:rPr>
          <w:rStyle w:val="5"/>
          <w:rFonts w:ascii="黑体" w:hAnsi="黑体" w:eastAsia="黑体"/>
          <w:b w:val="0"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附件2</w:t>
      </w:r>
    </w:p>
    <w:tbl>
      <w:tblPr>
        <w:tblStyle w:val="6"/>
        <w:tblW w:w="14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0"/>
        <w:gridCol w:w="1380"/>
        <w:gridCol w:w="2020"/>
        <w:gridCol w:w="1300"/>
        <w:gridCol w:w="2260"/>
        <w:gridCol w:w="2300"/>
        <w:gridCol w:w="2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2019年职业教育活动周情况统计表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学校名称：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参加活动单位及人员</w:t>
            </w:r>
          </w:p>
        </w:tc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主要活动形式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观摩体检活动项目数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媒体报道情况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企业数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教师数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学生数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学生参与覆盖率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参与总人数</w:t>
            </w:r>
          </w:p>
        </w:tc>
        <w:tc>
          <w:tcPr>
            <w:tcW w:w="2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620" w:lineRule="exact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填表人：                                                   联系电话：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244F2"/>
    <w:rsid w:val="4892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2020-03-20T07:04:00Z</dcterms:created>
  <dc:creator>高江江</dc:creator>
  <cp:lastModifiedBy>高江江</cp:lastModifiedBy>
  <dcterms:modified xsi:type="dcterms:W3CDTF">2020-03-20T07:04:42Z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