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28"/>
        </w:rPr>
      </w:pPr>
      <w:r>
        <w:rPr>
          <w:rFonts w:eastAsia="黑体"/>
          <w:sz w:val="32"/>
          <w:szCs w:val="28"/>
        </w:rPr>
        <w:t>附件2</w:t>
      </w:r>
    </w:p>
    <w:p>
      <w:pPr>
        <w:spacing w:line="560" w:lineRule="exact"/>
        <w:rPr>
          <w:rFonts w:eastAsia="黑体"/>
          <w:sz w:val="32"/>
          <w:szCs w:val="28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201</w:t>
      </w:r>
      <w:r>
        <w:rPr>
          <w:rFonts w:hint="eastAsia" w:eastAsia="方正小标宋_GBK"/>
          <w:sz w:val="44"/>
          <w:szCs w:val="44"/>
        </w:rPr>
        <w:t>9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</w:rPr>
        <w:t>学术</w:t>
      </w:r>
      <w:r>
        <w:rPr>
          <w:rFonts w:eastAsia="方正小标宋_GBK"/>
          <w:sz w:val="44"/>
          <w:szCs w:val="44"/>
        </w:rPr>
        <w:t>硕士学位论文</w:t>
      </w:r>
      <w:r>
        <w:rPr>
          <w:rFonts w:hint="eastAsia" w:eastAsia="方正小标宋_GBK"/>
          <w:sz w:val="44"/>
          <w:szCs w:val="44"/>
        </w:rPr>
        <w:t>抽检</w:t>
      </w:r>
      <w:r>
        <w:rPr>
          <w:rFonts w:eastAsia="方正小标宋_GBK"/>
          <w:sz w:val="44"/>
          <w:szCs w:val="44"/>
        </w:rPr>
        <w:t>评议结果</w:t>
      </w:r>
      <w:r>
        <w:rPr>
          <w:rFonts w:hint="eastAsia" w:eastAsia="方正小标宋_GBK"/>
          <w:sz w:val="44"/>
          <w:szCs w:val="44"/>
        </w:rPr>
        <w:t>统计</w:t>
      </w:r>
      <w:bookmarkEnd w:id="0"/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1485"/>
        <w:gridCol w:w="1184"/>
        <w:gridCol w:w="790"/>
        <w:gridCol w:w="1032"/>
        <w:gridCol w:w="971"/>
        <w:gridCol w:w="1124"/>
        <w:gridCol w:w="942"/>
        <w:gridCol w:w="1063"/>
        <w:gridCol w:w="1245"/>
        <w:gridCol w:w="956"/>
        <w:gridCol w:w="1321"/>
        <w:gridCol w:w="11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学校代码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抽检</w:t>
            </w:r>
            <w:r>
              <w:rPr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b/>
                <w:color w:val="000000"/>
                <w:kern w:val="0"/>
                <w:sz w:val="22"/>
                <w:szCs w:val="22"/>
              </w:rPr>
              <w:t>论文数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优秀论文　</w:t>
            </w:r>
          </w:p>
        </w:tc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良好论文　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一般论文　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存在1个不合格意见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学位论文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存在问题学位论文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 w:cs="Times New Roman"/>
              </w:rPr>
              <w:t>平均分≥90</w:t>
            </w:r>
          </w:p>
        </w:tc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75</w:t>
            </w:r>
            <w:r>
              <w:rPr>
                <w:rStyle w:val="4"/>
                <w:rFonts w:hint="default" w:ascii="Times New Roman" w:hAnsi="Times New Roman" w:cs="Times New Roman"/>
              </w:rPr>
              <w:t>≤平均分＜90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60</w:t>
            </w:r>
            <w:r>
              <w:rPr>
                <w:rStyle w:val="4"/>
                <w:rFonts w:hint="default" w:ascii="Times New Roman" w:hAnsi="Times New Roman" w:cs="Times New Roman"/>
              </w:rPr>
              <w:t>≤平均分＜75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Style w:val="4"/>
                <w:rFonts w:hint="default" w:ascii="Times New Roman" w:hAnsi="Times New Roman" w:cs="Times New Roman"/>
              </w:rPr>
              <w:t>个专家评分&lt;60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Style w:val="4"/>
                <w:rFonts w:hint="default" w:ascii="Times New Roman" w:hAnsi="Times New Roman" w:cs="Times New Roman"/>
              </w:rPr>
              <w:t>个及以上专家评分&lt;60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论文数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比例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论文数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比例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论文数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比例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论文数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比例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论文数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比例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新疆财经大学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54.55%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36.36%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9.09%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新疆师范大学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65.22%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15.22%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15.22%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4.35%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喀什大学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60.00%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40.00%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伊犁师范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大学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57.14%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28.57%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14.29%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新疆农业大学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4.76%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80.95%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4.76%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9.52%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石河子大学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7.69%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84.62%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7.69%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新疆大学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1.69%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81.36%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13.56%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3.39%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新疆医科大学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90.00%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10.00%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塔里木大学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新疆艺术学院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2.09%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75.92%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12.04%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8.38%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1.57%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A004D"/>
    <w:rsid w:val="024A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2020-05-18T11:26:00Z</dcterms:created>
  <dc:creator>高江江</dc:creator>
  <cp:lastModifiedBy>高江江</cp:lastModifiedBy>
  <dcterms:modified xsi:type="dcterms:W3CDTF">2020-05-18T11:26:53Z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