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bookmarkStart w:id="0" w:name="_GoBack"/>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新疆林业学校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9025D71">
      <w:r>
        <w:br w:type="page"/>
      </w:r>
    </w:p>
    <w:p w14:paraId="5489AACE">
      <w:pPr>
        <w:spacing w:line="640" w:lineRule="exact"/>
        <w:jc w:val="center"/>
        <w:outlineLvl w:val="1"/>
      </w:pPr>
      <w:r>
        <w:rPr>
          <w:rFonts w:ascii="黑体" w:hAnsi="黑体" w:eastAsia="黑体"/>
          <w:sz w:val="32"/>
        </w:rPr>
        <w:t>第一部分 单位概况</w:t>
      </w:r>
    </w:p>
    <w:p w14:paraId="0B388C4E">
      <w:pPr>
        <w:spacing w:line="640" w:lineRule="exact"/>
        <w:ind w:firstLine="640"/>
        <w:jc w:val="both"/>
        <w:outlineLvl w:val="2"/>
      </w:pPr>
      <w:r>
        <w:rPr>
          <w:rFonts w:ascii="黑体" w:hAnsi="黑体" w:eastAsia="黑体"/>
          <w:sz w:val="32"/>
        </w:rPr>
        <w:t>一、主要职能</w:t>
      </w:r>
    </w:p>
    <w:p w14:paraId="676C42AA">
      <w:pPr>
        <w:spacing w:line="580" w:lineRule="exact"/>
        <w:ind w:firstLine="640"/>
        <w:jc w:val="both"/>
      </w:pPr>
      <w:r>
        <w:rPr>
          <w:rFonts w:ascii="仿宋_GB2312" w:hAnsi="仿宋_GB2312" w:eastAsia="仿宋_GB2312"/>
          <w:sz w:val="32"/>
        </w:rPr>
        <w:t>新疆林业学校（新疆林业技工学校）作为自治区唯一所林业职业技术教育机构，多年来为自治区林业战线培养了大批技能型和管理型人才，在自治区林业发展中发挥了重要作用，同时又是北京林业大学成人教育分院、国家林业干部学院新疆分院、自治区林业行业专业技术人员继续教育基地、自治区林业厅培训中心，承担着林业系统大量的成人培训任务。</w:t>
      </w:r>
    </w:p>
    <w:p w14:paraId="0D77269F">
      <w:pPr>
        <w:spacing w:line="580" w:lineRule="exact"/>
        <w:ind w:firstLine="640"/>
        <w:jc w:val="both"/>
      </w:pPr>
      <w:r>
        <w:rPr>
          <w:rFonts w:ascii="仿宋_GB2312" w:hAnsi="仿宋_GB2312" w:eastAsia="仿宋_GB2312"/>
          <w:sz w:val="32"/>
        </w:rPr>
        <w:t>新疆林业学校牢记</w:t>
      </w:r>
      <w:r>
        <w:rPr>
          <w:rFonts w:hint="eastAsia" w:ascii="仿宋_GB2312" w:hAnsi="仿宋_GB2312" w:eastAsia="仿宋_GB2312"/>
          <w:sz w:val="32"/>
          <w:lang w:eastAsia="zh-CN"/>
        </w:rPr>
        <w:t>为党育人、为国育才</w:t>
      </w:r>
      <w:r>
        <w:rPr>
          <w:rFonts w:ascii="仿宋_GB2312" w:hAnsi="仿宋_GB2312" w:eastAsia="仿宋_GB2312"/>
          <w:sz w:val="32"/>
        </w:rPr>
        <w:t>使命，坚持以习近平新时代中国特色社会主义思想为指导，全面贯彻新时代党的治疆方略和教育方针，坚持把产教融合校企合作为基本办学制度</w:t>
      </w:r>
      <w:r>
        <w:rPr>
          <w:rFonts w:hint="eastAsia" w:ascii="仿宋_GB2312" w:hAnsi="仿宋_GB2312" w:eastAsia="仿宋_GB2312"/>
          <w:sz w:val="32"/>
          <w:lang w:eastAsia="zh-CN"/>
        </w:rPr>
        <w:t>，紧</w:t>
      </w:r>
      <w:r>
        <w:rPr>
          <w:rFonts w:ascii="仿宋_GB2312" w:hAnsi="仿宋_GB2312" w:eastAsia="仿宋_GB2312"/>
          <w:sz w:val="32"/>
        </w:rPr>
        <w:t>紧围绕自治区实施乡村振兴战略、脱贫攻坚战略、就业优先战略，坚持以提高质量、促进就业、服务发展为导向，以立德树人和培养职业精神为根本，以提高职业技能为核心，坚持“标准引领、校企合作、多元办学、内涵发展”的办学理念，秉持修德强技、知行合一校训，持续深化办学体制机制和“三教”改革，不断创新技术技能人才培养模式，提升技术技能人才培养质量，努力办好人民满意的中等职业教育。在未来的发展中新疆林业学</w:t>
      </w:r>
      <w:r>
        <w:rPr>
          <w:rFonts w:hint="eastAsia" w:ascii="仿宋_GB2312" w:hAnsi="仿宋_GB2312" w:eastAsia="仿宋_GB2312"/>
          <w:sz w:val="32"/>
          <w:lang w:eastAsia="zh-CN"/>
        </w:rPr>
        <w:t>校将</w:t>
      </w:r>
      <w:r>
        <w:rPr>
          <w:rFonts w:ascii="仿宋_GB2312" w:hAnsi="仿宋_GB2312" w:eastAsia="仿宋_GB2312"/>
          <w:sz w:val="32"/>
        </w:rPr>
        <w:t>一如既往</w:t>
      </w:r>
      <w:r>
        <w:rPr>
          <w:rFonts w:hint="eastAsia" w:ascii="仿宋_GB2312" w:hAnsi="仿宋_GB2312" w:eastAsia="仿宋_GB2312"/>
          <w:sz w:val="32"/>
          <w:lang w:eastAsia="zh-CN"/>
        </w:rPr>
        <w:t>地</w:t>
      </w:r>
      <w:r>
        <w:rPr>
          <w:rFonts w:ascii="仿宋_GB2312" w:hAnsi="仿宋_GB2312" w:eastAsia="仿宋_GB2312"/>
          <w:sz w:val="32"/>
        </w:rPr>
        <w:t>积极响应国家关于职业院校发展的政策，立足新疆经济发展，为脱贫攻坚、乡村振兴、生态文明建设提供坚强的人才支撑和智力支持。</w:t>
      </w:r>
    </w:p>
    <w:p w14:paraId="0807F159">
      <w:pPr>
        <w:spacing w:line="640" w:lineRule="exact"/>
        <w:ind w:firstLine="640"/>
        <w:jc w:val="both"/>
        <w:outlineLvl w:val="2"/>
      </w:pPr>
      <w:r>
        <w:rPr>
          <w:rFonts w:ascii="黑体" w:hAnsi="黑体" w:eastAsia="黑体"/>
          <w:sz w:val="32"/>
        </w:rPr>
        <w:t>二、机构设置</w:t>
      </w:r>
    </w:p>
    <w:p w14:paraId="43F591F0">
      <w:pPr>
        <w:spacing w:line="580" w:lineRule="exact"/>
        <w:ind w:firstLine="640"/>
        <w:jc w:val="both"/>
      </w:pPr>
      <w:r>
        <w:rPr>
          <w:rFonts w:ascii="仿宋_GB2312" w:hAnsi="仿宋_GB2312" w:eastAsia="仿宋_GB2312"/>
          <w:sz w:val="32"/>
        </w:rPr>
        <w:t>新疆林业学校无下属预算单位。</w:t>
      </w:r>
    </w:p>
    <w:p w14:paraId="032E0145">
      <w:r>
        <w:br w:type="page"/>
      </w:r>
    </w:p>
    <w:p w14:paraId="1E2FBA35">
      <w:pPr>
        <w:spacing w:line="240" w:lineRule="auto"/>
        <w:jc w:val="center"/>
        <w:outlineLvl w:val="1"/>
      </w:pPr>
      <w:r>
        <w:rPr>
          <w:rFonts w:ascii="黑体" w:hAnsi="黑体" w:eastAsia="黑体"/>
          <w:sz w:val="32"/>
        </w:rPr>
        <w:t>第二部分 部门决算情况说明</w:t>
      </w:r>
    </w:p>
    <w:p w14:paraId="377FB2DD">
      <w:pPr>
        <w:spacing w:line="640" w:lineRule="exact"/>
        <w:ind w:firstLine="640"/>
        <w:jc w:val="both"/>
        <w:outlineLvl w:val="2"/>
      </w:pPr>
      <w:r>
        <w:rPr>
          <w:rFonts w:ascii="黑体" w:hAnsi="黑体" w:eastAsia="黑体"/>
          <w:sz w:val="32"/>
        </w:rPr>
        <w:t>一、收入支出决算总体情况说明</w:t>
      </w:r>
    </w:p>
    <w:p w14:paraId="752E3C6A">
      <w:pPr>
        <w:spacing w:line="580" w:lineRule="exact"/>
        <w:ind w:firstLine="640"/>
        <w:jc w:val="both"/>
      </w:pPr>
      <w:r>
        <w:rPr>
          <w:rFonts w:ascii="仿宋_GB2312" w:hAnsi="仿宋_GB2312" w:eastAsia="仿宋_GB2312"/>
          <w:b/>
          <w:sz w:val="32"/>
        </w:rPr>
        <w:t>2025年度收入总计8,104.60万元，</w:t>
      </w:r>
      <w:r>
        <w:rPr>
          <w:rFonts w:ascii="仿宋_GB2312" w:hAnsi="仿宋_GB2312" w:eastAsia="仿宋_GB2312"/>
          <w:b w:val="0"/>
          <w:sz w:val="32"/>
        </w:rPr>
        <w:t>其中：本年收入合计7,731.61万元，使用非财政拨款结余（含专用结余）0.00万元，年初结转和结余372.99万元。</w:t>
      </w:r>
    </w:p>
    <w:p w14:paraId="573B537E">
      <w:pPr>
        <w:spacing w:line="580" w:lineRule="exact"/>
        <w:ind w:firstLine="640"/>
        <w:jc w:val="both"/>
      </w:pPr>
      <w:r>
        <w:rPr>
          <w:rFonts w:ascii="仿宋_GB2312" w:hAnsi="仿宋_GB2312" w:eastAsia="仿宋_GB2312"/>
          <w:b/>
          <w:sz w:val="32"/>
        </w:rPr>
        <w:t>2025年度支出总计8,104.60万元，</w:t>
      </w:r>
      <w:r>
        <w:rPr>
          <w:rFonts w:ascii="仿宋_GB2312" w:hAnsi="仿宋_GB2312" w:eastAsia="仿宋_GB2312"/>
          <w:b w:val="0"/>
          <w:sz w:val="32"/>
        </w:rPr>
        <w:t>其中：本年支出合计7,849.85万元，结余分配0.00万元，年末结转和结余254.74万元。</w:t>
      </w:r>
    </w:p>
    <w:p w14:paraId="7DD14C65">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增加889.83万元，增长12.33%，主要原因是：1.本年在职人员工资调增，社保、公积金基数调增，人员经费增加。2.2025年并入轻工职业学院，做实在职人员职业年金增加财政拨款收入。</w:t>
      </w:r>
    </w:p>
    <w:p w14:paraId="1153FA3A">
      <w:pPr>
        <w:spacing w:line="640" w:lineRule="exact"/>
        <w:ind w:firstLine="640"/>
        <w:jc w:val="both"/>
        <w:outlineLvl w:val="2"/>
      </w:pPr>
      <w:r>
        <w:rPr>
          <w:rFonts w:ascii="黑体" w:hAnsi="黑体" w:eastAsia="黑体"/>
          <w:sz w:val="32"/>
        </w:rPr>
        <w:t>二、收入决算情况说明</w:t>
      </w:r>
    </w:p>
    <w:p w14:paraId="0E216612">
      <w:pPr>
        <w:spacing w:line="580" w:lineRule="exact"/>
        <w:ind w:firstLine="640"/>
        <w:jc w:val="both"/>
      </w:pPr>
      <w:r>
        <w:rPr>
          <w:rFonts w:ascii="仿宋_GB2312" w:hAnsi="仿宋_GB2312" w:eastAsia="仿宋_GB2312"/>
          <w:b/>
          <w:sz w:val="32"/>
        </w:rPr>
        <w:t>本年收入7,731.61万元，</w:t>
      </w:r>
      <w:r>
        <w:rPr>
          <w:rFonts w:ascii="仿宋_GB2312" w:hAnsi="仿宋_GB2312" w:eastAsia="仿宋_GB2312"/>
          <w:b w:val="0"/>
          <w:sz w:val="32"/>
        </w:rPr>
        <w:t>其中：财政拨款收入7,657.15万元，占99.04%；上级补助收入0.00万元，占0.00%；事业收入0.00万元，占0.00%；经营收入0.00万元，占0.00%；附属单位上缴收入0.00万元，占0.00%；其他收入74.45万元，占0.96%。</w:t>
      </w:r>
    </w:p>
    <w:p w14:paraId="26ED2D33">
      <w:pPr>
        <w:spacing w:line="640" w:lineRule="exact"/>
        <w:ind w:firstLine="640"/>
        <w:jc w:val="both"/>
        <w:outlineLvl w:val="2"/>
      </w:pPr>
      <w:r>
        <w:rPr>
          <w:rFonts w:ascii="黑体" w:hAnsi="黑体" w:eastAsia="黑体"/>
          <w:sz w:val="32"/>
        </w:rPr>
        <w:t>三、支出决算情况说明</w:t>
      </w:r>
    </w:p>
    <w:p w14:paraId="278D93D3">
      <w:pPr>
        <w:spacing w:line="580" w:lineRule="exact"/>
        <w:ind w:firstLine="640"/>
        <w:jc w:val="both"/>
      </w:pPr>
      <w:r>
        <w:rPr>
          <w:rFonts w:ascii="仿宋_GB2312" w:hAnsi="仿宋_GB2312" w:eastAsia="仿宋_GB2312"/>
          <w:b/>
          <w:sz w:val="32"/>
        </w:rPr>
        <w:t>本年支出7,849.85万元，</w:t>
      </w:r>
      <w:r>
        <w:rPr>
          <w:rFonts w:ascii="仿宋_GB2312" w:hAnsi="仿宋_GB2312" w:eastAsia="仿宋_GB2312"/>
          <w:b w:val="0"/>
          <w:sz w:val="32"/>
        </w:rPr>
        <w:t>其中：基本支出6,417.72万元，占81.76%；项目支出1,432.14万元，占18.24%；上缴上级支出0.00万元，占0.00%；经营支出0.00万元，占0.00%；对附属单位补助支出0.00万元，占0.00%。</w:t>
      </w:r>
    </w:p>
    <w:p w14:paraId="276F813A">
      <w:pPr>
        <w:spacing w:line="640" w:lineRule="exact"/>
        <w:ind w:firstLine="640"/>
        <w:jc w:val="both"/>
        <w:outlineLvl w:val="2"/>
      </w:pPr>
      <w:r>
        <w:rPr>
          <w:rFonts w:ascii="黑体" w:hAnsi="黑体" w:eastAsia="黑体"/>
          <w:sz w:val="32"/>
        </w:rPr>
        <w:t>四、财政拨款收入支出决算总体情况说明</w:t>
      </w:r>
    </w:p>
    <w:p w14:paraId="69943DE8">
      <w:pPr>
        <w:spacing w:line="580" w:lineRule="exact"/>
        <w:ind w:firstLine="640"/>
        <w:jc w:val="both"/>
      </w:pPr>
      <w:r>
        <w:rPr>
          <w:rFonts w:ascii="仿宋_GB2312" w:hAnsi="仿宋_GB2312" w:eastAsia="仿宋_GB2312"/>
          <w:b/>
          <w:sz w:val="32"/>
        </w:rPr>
        <w:t>2025年度财政拨款收入总计7,688.60万元，</w:t>
      </w:r>
      <w:r>
        <w:rPr>
          <w:rFonts w:ascii="仿宋_GB2312" w:hAnsi="仿宋_GB2312" w:eastAsia="仿宋_GB2312"/>
          <w:b w:val="0"/>
          <w:sz w:val="32"/>
        </w:rPr>
        <w:t>其中：年初财政拨款结转和结余31.45万元，本年财政拨款收入7,657.15万元。</w:t>
      </w:r>
      <w:r>
        <w:rPr>
          <w:rFonts w:ascii="仿宋_GB2312" w:hAnsi="仿宋_GB2312" w:eastAsia="仿宋_GB2312"/>
          <w:b/>
          <w:sz w:val="32"/>
        </w:rPr>
        <w:t>财政拨款支出总计7,688.60万元，</w:t>
      </w:r>
      <w:r>
        <w:rPr>
          <w:rFonts w:ascii="仿宋_GB2312" w:hAnsi="仿宋_GB2312" w:eastAsia="仿宋_GB2312"/>
          <w:b w:val="0"/>
          <w:sz w:val="32"/>
        </w:rPr>
        <w:t>其中：年末财政拨款结转和结余6.12万元，本年财政拨款支出7,682.48万元。</w:t>
      </w:r>
    </w:p>
    <w:p w14:paraId="3FE37BE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增加1,204.34万元，增长18.57%，主要原因是：1本年在职人员工资调增，社保、公积金基数调增，人员经费增加；2.2025年并入轻工职业学院，做实在职人员职业年金增加财政拨款收入。</w:t>
      </w:r>
      <w:r>
        <w:rPr>
          <w:rFonts w:ascii="仿宋_GB2312" w:hAnsi="仿宋_GB2312" w:eastAsia="仿宋_GB2312"/>
          <w:b/>
          <w:sz w:val="32"/>
        </w:rPr>
        <w:t>与年初预算相比，</w:t>
      </w:r>
      <w:r>
        <w:rPr>
          <w:rFonts w:ascii="仿宋_GB2312" w:hAnsi="仿宋_GB2312" w:eastAsia="仿宋_GB2312"/>
          <w:b w:val="0"/>
          <w:sz w:val="32"/>
        </w:rPr>
        <w:t>年初预算数5,920.15万元，决算数7,688.60万元，预决算差异率29.87%，主要原因是：年中追加在职人员职业年金项目，导致预决算存在差异。</w:t>
      </w:r>
    </w:p>
    <w:p w14:paraId="17628A6D">
      <w:pPr>
        <w:spacing w:line="640" w:lineRule="exact"/>
        <w:ind w:firstLine="640"/>
        <w:jc w:val="both"/>
        <w:outlineLvl w:val="2"/>
      </w:pPr>
      <w:r>
        <w:rPr>
          <w:rFonts w:ascii="黑体" w:hAnsi="黑体" w:eastAsia="黑体"/>
          <w:sz w:val="32"/>
        </w:rPr>
        <w:t>五、一般公共预算财政拨款支出决算情况说明</w:t>
      </w:r>
    </w:p>
    <w:p w14:paraId="4537EEAA">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中等职业教育事业发展等重点支出，体现在有关支出科目中。</w:t>
      </w:r>
    </w:p>
    <w:p w14:paraId="6CDC8E52">
      <w:pPr>
        <w:spacing w:line="580" w:lineRule="exact"/>
        <w:ind w:firstLine="640"/>
        <w:jc w:val="both"/>
      </w:pPr>
      <w:r>
        <w:rPr>
          <w:rFonts w:ascii="仿宋_GB2312" w:hAnsi="仿宋_GB2312" w:eastAsia="仿宋_GB2312"/>
          <w:b w:val="0"/>
          <w:sz w:val="32"/>
        </w:rPr>
        <w:t>按照支出功能分类，教育支出（类）职业教育（款）中等职业教育（项）的支出占本年财政拨款支出总额的比重最高，2025年度决算数为7,442.48万元，占比96.88%，主要用于职工基本工资、津贴补贴、绩效工资、日常公用经费。</w:t>
      </w:r>
    </w:p>
    <w:p w14:paraId="426C06CB">
      <w:pPr>
        <w:spacing w:line="640" w:lineRule="exact"/>
        <w:ind w:firstLine="640"/>
        <w:jc w:val="both"/>
        <w:outlineLvl w:val="3"/>
      </w:pPr>
      <w:r>
        <w:rPr>
          <w:rFonts w:ascii="楷体_GB2312" w:hAnsi="楷体_GB2312" w:eastAsia="楷体_GB2312"/>
          <w:b/>
          <w:sz w:val="32"/>
        </w:rPr>
        <w:t>（一）一般公共预算财政拨款支出决算总体情况</w:t>
      </w:r>
    </w:p>
    <w:p w14:paraId="51503CAA">
      <w:pPr>
        <w:spacing w:line="580" w:lineRule="exact"/>
        <w:ind w:firstLine="640"/>
        <w:jc w:val="both"/>
      </w:pPr>
      <w:r>
        <w:rPr>
          <w:rFonts w:ascii="仿宋_GB2312" w:hAnsi="仿宋_GB2312" w:eastAsia="仿宋_GB2312"/>
          <w:b/>
          <w:sz w:val="32"/>
        </w:rPr>
        <w:t>2025年度一般公共预算财政拨款支出7,682.48万元，</w:t>
      </w:r>
      <w:r>
        <w:rPr>
          <w:rFonts w:ascii="仿宋_GB2312" w:hAnsi="仿宋_GB2312" w:eastAsia="仿宋_GB2312"/>
          <w:b w:val="0"/>
          <w:sz w:val="32"/>
        </w:rPr>
        <w:t>占本年支出合计的97.87%。</w:t>
      </w:r>
      <w:r>
        <w:rPr>
          <w:rFonts w:ascii="仿宋_GB2312" w:hAnsi="仿宋_GB2312" w:eastAsia="仿宋_GB2312"/>
          <w:b/>
          <w:sz w:val="32"/>
        </w:rPr>
        <w:t>与上年相比，</w:t>
      </w:r>
      <w:r>
        <w:rPr>
          <w:rFonts w:ascii="仿宋_GB2312" w:hAnsi="仿宋_GB2312" w:eastAsia="仿宋_GB2312"/>
          <w:b w:val="0"/>
          <w:sz w:val="32"/>
        </w:rPr>
        <w:t>增加1,229.67万元，增长19.06%，主要原因是：1.本年在职人员工资调增，社保、公积金基数调增，人员经费增加。2.2025年并入轻工职业学校做实在职人员职业年金增加财政拨款支出。</w:t>
      </w:r>
      <w:r>
        <w:rPr>
          <w:rFonts w:ascii="仿宋_GB2312" w:hAnsi="仿宋_GB2312" w:eastAsia="仿宋_GB2312"/>
          <w:b/>
          <w:sz w:val="32"/>
        </w:rPr>
        <w:t>与年初预算相比，</w:t>
      </w:r>
      <w:r>
        <w:rPr>
          <w:rFonts w:ascii="仿宋_GB2312" w:hAnsi="仿宋_GB2312" w:eastAsia="仿宋_GB2312"/>
          <w:b w:val="0"/>
          <w:sz w:val="32"/>
        </w:rPr>
        <w:t>年初预算数5,920.15万元，决算数7,682.48万元，预决算差异率29.77%，主要原因是：年中追加在职人员职业年金，导致预决算存在差异。</w:t>
      </w:r>
    </w:p>
    <w:p w14:paraId="6223353F">
      <w:pPr>
        <w:spacing w:line="640" w:lineRule="exact"/>
        <w:ind w:firstLine="640"/>
        <w:jc w:val="both"/>
        <w:outlineLvl w:val="3"/>
      </w:pPr>
      <w:r>
        <w:rPr>
          <w:rFonts w:ascii="楷体_GB2312" w:hAnsi="楷体_GB2312" w:eastAsia="楷体_GB2312"/>
          <w:b/>
          <w:sz w:val="32"/>
        </w:rPr>
        <w:t>（二）一般公共预算财政拨款支出决算结构情况</w:t>
      </w:r>
    </w:p>
    <w:p w14:paraId="5DFE1A08">
      <w:pPr>
        <w:spacing w:line="580" w:lineRule="exact"/>
        <w:ind w:firstLine="640"/>
        <w:jc w:val="both"/>
      </w:pPr>
      <w:r>
        <w:rPr>
          <w:rFonts w:ascii="仿宋_GB2312" w:hAnsi="仿宋_GB2312" w:eastAsia="仿宋_GB2312"/>
          <w:b w:val="0"/>
          <w:sz w:val="32"/>
        </w:rPr>
        <w:t>1.教育支出（类）7,682.48万元，占100.00%。</w:t>
      </w:r>
    </w:p>
    <w:p w14:paraId="10FE4B0A">
      <w:pPr>
        <w:spacing w:line="640" w:lineRule="exact"/>
        <w:ind w:firstLine="640"/>
        <w:jc w:val="both"/>
        <w:outlineLvl w:val="3"/>
      </w:pPr>
      <w:r>
        <w:rPr>
          <w:rFonts w:ascii="楷体_GB2312" w:hAnsi="楷体_GB2312" w:eastAsia="楷体_GB2312"/>
          <w:b/>
          <w:sz w:val="32"/>
        </w:rPr>
        <w:t>（三）一般公共预算财政拨款支出决算具体情况</w:t>
      </w:r>
    </w:p>
    <w:p w14:paraId="1689DD39">
      <w:pPr>
        <w:spacing w:line="580" w:lineRule="exact"/>
        <w:ind w:firstLine="640"/>
        <w:jc w:val="both"/>
      </w:pPr>
      <w:r>
        <w:rPr>
          <w:rFonts w:ascii="仿宋_GB2312" w:hAnsi="仿宋_GB2312" w:eastAsia="仿宋_GB2312"/>
          <w:b w:val="0"/>
          <w:sz w:val="32"/>
        </w:rPr>
        <w:t>1.教育支出（类）职业教育（款）中等职业教育（项）：支出决算数为7,442.48万元，比上年决算增加2,854.23万元，增长62.21%，主要原因是：1.本年在职人员工资调增，社保、公积金基数调增，人员经费增加。2.我单位并入轻工职业学院，年中追加在职人员职业年金增加支出。3.本年功能科目调整，事业单位离退休、人员养老、职业年金、医疗、住房公积金等科目上年度单独列支，本年调整至主科目列支，导致经费较上年增加。</w:t>
      </w:r>
    </w:p>
    <w:p w14:paraId="236EF29E">
      <w:pPr>
        <w:spacing w:line="580" w:lineRule="exact"/>
        <w:ind w:firstLine="640"/>
        <w:jc w:val="both"/>
      </w:pPr>
      <w:r>
        <w:rPr>
          <w:rFonts w:ascii="仿宋_GB2312" w:hAnsi="仿宋_GB2312" w:eastAsia="仿宋_GB2312"/>
          <w:b w:val="0"/>
          <w:sz w:val="32"/>
        </w:rPr>
        <w:t>2.教育支出（类）职业教育（款）技校教育（项）：支出决算数为231.47万元，比上年决算减少11.98万元，下降4.92%，主要原因是：学生人数较上年减少。</w:t>
      </w:r>
    </w:p>
    <w:p w14:paraId="2236BAB4">
      <w:pPr>
        <w:spacing w:line="580" w:lineRule="exact"/>
        <w:ind w:firstLine="640"/>
        <w:jc w:val="both"/>
      </w:pPr>
      <w:r>
        <w:rPr>
          <w:rFonts w:ascii="仿宋_GB2312" w:hAnsi="仿宋_GB2312" w:eastAsia="仿宋_GB2312"/>
          <w:b w:val="0"/>
          <w:sz w:val="32"/>
        </w:rPr>
        <w:t>3.教育支出（类）职业教育（款）其他职业教育支出（项）：支出决算数为8.53万元，比上年决算减少24.11万元，下降73.87%，主要原因是：数字校园改造升级项目支出较上年减少。</w:t>
      </w:r>
    </w:p>
    <w:p w14:paraId="1EA6AB9A">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0.00万元，比上年决算减少0.42万元，下降100.00%，主要原因是：本年功能科目调整，事业单位离退休上年度单独列支，本年调整至主科目列支，导致经费较上年减少。</w:t>
      </w:r>
    </w:p>
    <w:p w14:paraId="40AB21C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0.00万元，比上年决算减少363.26万元，下降100.00%，主要原因是：本年功能科目调整，养老保险缴费上年度单独列支，本年调整至主科目列支，导致经费较上年减少。</w:t>
      </w:r>
    </w:p>
    <w:p w14:paraId="3BA84B8B">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80.43万元，下降100.00%，主要原因是：本年功能科目调整，机关事业单位职业年金缴费上年度单独列支，本年调整至主科目列支，导致经费较上年减少。</w:t>
      </w:r>
    </w:p>
    <w:p w14:paraId="50277102">
      <w:pPr>
        <w:spacing w:line="580" w:lineRule="exact"/>
        <w:ind w:firstLine="640"/>
        <w:jc w:val="both"/>
      </w:pPr>
      <w:r>
        <w:rPr>
          <w:rFonts w:ascii="仿宋_GB2312" w:hAnsi="仿宋_GB2312" w:eastAsia="仿宋_GB2312"/>
          <w:b w:val="0"/>
          <w:sz w:val="32"/>
        </w:rPr>
        <w:t>7.卫生健康支出（类）行政事业单位医疗（款）公务员医疗补助（项）：支出决算数为0.00万元，比上年决算减少158.92万元，下降100.00%，主要原因是：本年功能科目调整，公务员医疗补助上年度单独列支，本年调整至主科目列支，导致经费较上年减少。</w:t>
      </w:r>
    </w:p>
    <w:p w14:paraId="754A11F1">
      <w:pPr>
        <w:spacing w:line="580" w:lineRule="exact"/>
        <w:ind w:firstLine="640"/>
        <w:jc w:val="both"/>
      </w:pPr>
      <w:r>
        <w:rPr>
          <w:rFonts w:ascii="仿宋_GB2312" w:hAnsi="仿宋_GB2312" w:eastAsia="仿宋_GB2312"/>
          <w:b w:val="0"/>
          <w:sz w:val="32"/>
        </w:rPr>
        <w:t>8.农林水支出（类）林业和草原（款）其他林业和草原支出（项）：支出决算数为0.00万元，比上年决算减少713.00万元，下降100.00%，主要原因是：本年林草专项补助经费较上年减少。</w:t>
      </w:r>
    </w:p>
    <w:p w14:paraId="3C99E7CE">
      <w:pPr>
        <w:spacing w:line="580" w:lineRule="exact"/>
        <w:ind w:firstLine="640"/>
        <w:jc w:val="both"/>
      </w:pPr>
      <w:r>
        <w:rPr>
          <w:rFonts w:ascii="仿宋_GB2312" w:hAnsi="仿宋_GB2312" w:eastAsia="仿宋_GB2312"/>
          <w:b w:val="0"/>
          <w:sz w:val="32"/>
        </w:rPr>
        <w:t>9.住房保障支出（类）住房改革支出（款）住房公积金（项）：支出决算数为0.00万元，比上年决算减少272.44万元，下降100.00%，主要原因是：本年功能科目调整，住房公积金上年度单独列支，本年调整至主科目列支，导致经费较上年减少。</w:t>
      </w:r>
    </w:p>
    <w:p w14:paraId="10D0F57A">
      <w:pPr>
        <w:spacing w:line="640" w:lineRule="exact"/>
        <w:ind w:firstLine="640"/>
        <w:jc w:val="both"/>
        <w:outlineLvl w:val="2"/>
      </w:pPr>
      <w:r>
        <w:rPr>
          <w:rFonts w:ascii="黑体" w:hAnsi="黑体" w:eastAsia="黑体"/>
          <w:sz w:val="32"/>
        </w:rPr>
        <w:t>六、一般公共预算财政拨款基本支出决算情况说明</w:t>
      </w:r>
    </w:p>
    <w:p w14:paraId="00AE7469">
      <w:pPr>
        <w:spacing w:line="580" w:lineRule="exact"/>
        <w:ind w:firstLine="640"/>
        <w:jc w:val="both"/>
      </w:pPr>
      <w:r>
        <w:rPr>
          <w:rFonts w:ascii="仿宋_GB2312" w:hAnsi="仿宋_GB2312" w:eastAsia="仿宋_GB2312"/>
          <w:b w:val="0"/>
          <w:sz w:val="32"/>
        </w:rPr>
        <w:t>2025年度一般公共预算财政拨款基本支出6,417.33万元，其中：</w:t>
      </w:r>
      <w:r>
        <w:rPr>
          <w:rFonts w:ascii="仿宋_GB2312" w:hAnsi="仿宋_GB2312" w:eastAsia="仿宋_GB2312"/>
          <w:b/>
          <w:sz w:val="32"/>
        </w:rPr>
        <w:t>人员经费5,633.23万元，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助学金、奖励金、其他对个人和家庭的补助。</w:t>
      </w:r>
    </w:p>
    <w:p w14:paraId="2FF56760">
      <w:pPr>
        <w:spacing w:line="580" w:lineRule="exact"/>
        <w:ind w:firstLine="640"/>
        <w:jc w:val="both"/>
      </w:pPr>
      <w:r>
        <w:rPr>
          <w:rFonts w:ascii="仿宋_GB2312" w:hAnsi="仿宋_GB2312" w:eastAsia="仿宋_GB2312"/>
          <w:b/>
          <w:sz w:val="32"/>
        </w:rPr>
        <w:t>公用经费784.10万元，</w:t>
      </w:r>
      <w:r>
        <w:rPr>
          <w:rFonts w:ascii="仿宋_GB2312" w:hAnsi="仿宋_GB2312" w:eastAsia="仿宋_GB2312"/>
          <w:b w:val="0"/>
          <w:sz w:val="32"/>
        </w:rPr>
        <w:t>包括：办公费、手续费、水费、电费、邮电费、取暖费、物业管理费、差旅费、维修（护）费、培训费、劳务费、工会经费、福利费、公务用车运行维护费、其他交通费用、其他商品和服务支出。</w:t>
      </w:r>
    </w:p>
    <w:p w14:paraId="2D915415">
      <w:pPr>
        <w:spacing w:line="640" w:lineRule="exact"/>
        <w:ind w:firstLine="640"/>
        <w:jc w:val="both"/>
        <w:outlineLvl w:val="2"/>
      </w:pPr>
      <w:r>
        <w:rPr>
          <w:rFonts w:ascii="黑体" w:hAnsi="黑体" w:eastAsia="黑体"/>
          <w:sz w:val="32"/>
        </w:rPr>
        <w:t>七、政府性基金预算财政拨款收入支出决算情况说明</w:t>
      </w:r>
    </w:p>
    <w:p w14:paraId="6929053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8BC8E0C">
      <w:pPr>
        <w:spacing w:line="640" w:lineRule="exact"/>
        <w:ind w:firstLine="640"/>
        <w:jc w:val="both"/>
        <w:outlineLvl w:val="2"/>
      </w:pPr>
      <w:r>
        <w:rPr>
          <w:rFonts w:ascii="黑体" w:hAnsi="黑体" w:eastAsia="黑体"/>
          <w:sz w:val="32"/>
        </w:rPr>
        <w:t>八、国有资本经营预算财政拨款收入支出决算情况说明</w:t>
      </w:r>
    </w:p>
    <w:p w14:paraId="3D59A9B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1B7E35">
      <w:pPr>
        <w:spacing w:line="640" w:lineRule="exact"/>
        <w:ind w:firstLine="640"/>
        <w:jc w:val="both"/>
        <w:outlineLvl w:val="2"/>
      </w:pPr>
      <w:r>
        <w:rPr>
          <w:rFonts w:ascii="黑体" w:hAnsi="黑体" w:eastAsia="黑体"/>
          <w:sz w:val="32"/>
        </w:rPr>
        <w:t>九、财政拨款“三公”经费支出决算情况说明</w:t>
      </w:r>
    </w:p>
    <w:p w14:paraId="2E35E85E">
      <w:pPr>
        <w:spacing w:line="580" w:lineRule="exact"/>
        <w:ind w:firstLine="640"/>
        <w:jc w:val="both"/>
      </w:pPr>
      <w:r>
        <w:rPr>
          <w:rFonts w:ascii="仿宋_GB2312" w:hAnsi="仿宋_GB2312" w:eastAsia="仿宋_GB2312"/>
          <w:b/>
          <w:sz w:val="32"/>
        </w:rPr>
        <w:t>2025年度财政拨款“三公”经费支出8.00万元，</w:t>
      </w:r>
      <w:r>
        <w:rPr>
          <w:rFonts w:ascii="仿宋_GB2312" w:hAnsi="仿宋_GB2312" w:eastAsia="仿宋_GB2312"/>
          <w:b w:val="0"/>
          <w:sz w:val="32"/>
        </w:rPr>
        <w:t>比上年减少0.96万元，下降10.71%，主要原因是：本年未安排公务接待工作，导致公务接待费较上年减少。其中：因公出国（境）费用支出0.00万元，占0.00%，比上年增加0.00万元，增长0.00%，主要原因是：2024年与2025年均无因公出国（境）费用支出。公务用车购置及运行维护费支出8.00万元，占100.00%，比上年增加0.00万元，增长0.00%，主要原因是：本单位公务用车购置及运行维护费与上年一致无变化。公务接待费支出0.00万元，占0.00%，比上年减少0.96万元，下降100.00%，主要原因是：本年严格执行中央八项规定，厉行节约，无公务接待费支出。</w:t>
      </w:r>
    </w:p>
    <w:p w14:paraId="71BA625D">
      <w:pPr>
        <w:spacing w:line="580" w:lineRule="exact"/>
        <w:ind w:firstLine="640"/>
        <w:jc w:val="both"/>
      </w:pPr>
      <w:r>
        <w:rPr>
          <w:rFonts w:ascii="仿宋_GB2312" w:hAnsi="仿宋_GB2312" w:eastAsia="仿宋_GB2312"/>
          <w:b/>
          <w:sz w:val="32"/>
        </w:rPr>
        <w:t>具体情况如下：</w:t>
      </w:r>
    </w:p>
    <w:p w14:paraId="23180246">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66365F5">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车辆燃料费、维修费、保险费、过路费等。公务用车购置数0辆，公务用车保有量4辆。国有资产占用情况中固定资产车辆4辆，与公务用车保有量差异原因是：本单位公务用车保有量与固定资产车辆一致无差异。</w:t>
      </w:r>
    </w:p>
    <w:p w14:paraId="436EC34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D28E2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14:paraId="32727F78">
      <w:pPr>
        <w:spacing w:line="640" w:lineRule="exact"/>
        <w:ind w:firstLine="640"/>
        <w:jc w:val="both"/>
        <w:outlineLvl w:val="2"/>
      </w:pPr>
      <w:r>
        <w:rPr>
          <w:rFonts w:ascii="黑体" w:hAnsi="黑体" w:eastAsia="黑体"/>
          <w:sz w:val="32"/>
        </w:rPr>
        <w:t>十、其他重要事项的情况说明</w:t>
      </w:r>
    </w:p>
    <w:p w14:paraId="2343A126">
      <w:pPr>
        <w:spacing w:line="640" w:lineRule="exact"/>
        <w:ind w:firstLine="640"/>
        <w:jc w:val="both"/>
        <w:outlineLvl w:val="3"/>
      </w:pPr>
      <w:r>
        <w:rPr>
          <w:rFonts w:ascii="楷体_GB2312" w:hAnsi="楷体_GB2312" w:eastAsia="楷体_GB2312"/>
          <w:b/>
          <w:sz w:val="32"/>
        </w:rPr>
        <w:t>（一）机关运行经费及公用经费支出情况</w:t>
      </w:r>
    </w:p>
    <w:p w14:paraId="4AED9082">
      <w:pPr>
        <w:spacing w:line="580" w:lineRule="exact"/>
        <w:ind w:firstLine="640"/>
        <w:jc w:val="both"/>
      </w:pPr>
      <w:r>
        <w:rPr>
          <w:rFonts w:ascii="仿宋_GB2312" w:hAnsi="仿宋_GB2312" w:eastAsia="仿宋_GB2312"/>
          <w:b w:val="0"/>
          <w:sz w:val="32"/>
        </w:rPr>
        <w:t>2025年度新疆林业学校（事业单位）公用经费支出784.10万元，比上年增加70.21万元，增长9.83%，主要原因是：本年业务量增加，公用经费增加。</w:t>
      </w:r>
    </w:p>
    <w:p w14:paraId="369AEC92">
      <w:pPr>
        <w:spacing w:line="640" w:lineRule="exact"/>
        <w:ind w:firstLine="640"/>
        <w:jc w:val="both"/>
        <w:outlineLvl w:val="3"/>
      </w:pPr>
      <w:r>
        <w:rPr>
          <w:rFonts w:ascii="楷体_GB2312" w:hAnsi="楷体_GB2312" w:eastAsia="楷体_GB2312"/>
          <w:b/>
          <w:sz w:val="32"/>
        </w:rPr>
        <w:t>（二）政府采购情况</w:t>
      </w:r>
    </w:p>
    <w:p w14:paraId="17FBF75F">
      <w:pPr>
        <w:spacing w:line="580" w:lineRule="exact"/>
        <w:ind w:firstLine="640"/>
        <w:jc w:val="both"/>
      </w:pPr>
      <w:r>
        <w:rPr>
          <w:rFonts w:ascii="仿宋_GB2312" w:hAnsi="仿宋_GB2312" w:eastAsia="仿宋_GB2312"/>
          <w:b w:val="0"/>
          <w:sz w:val="32"/>
        </w:rPr>
        <w:t>2025年度政府采购支出总额554.07万元，其中：政府采购货物支出553.79万元、政府采购工程支出0.00万元、政府采购服务支出0.28万元。</w:t>
      </w:r>
    </w:p>
    <w:p w14:paraId="2EB97FE6">
      <w:pPr>
        <w:spacing w:line="580" w:lineRule="exact"/>
        <w:ind w:firstLine="640"/>
        <w:jc w:val="both"/>
      </w:pPr>
      <w:r>
        <w:rPr>
          <w:rFonts w:ascii="仿宋_GB2312" w:hAnsi="仿宋_GB2312" w:eastAsia="仿宋_GB2312"/>
          <w:b w:val="0"/>
          <w:sz w:val="32"/>
        </w:rPr>
        <w:t>授予中小企业合同金额554.07万元，占政府采购支出总额的100.00%，其中：授予小微企业合同金额553.79万元，占政府采购支出总额的99.95%。</w:t>
      </w:r>
    </w:p>
    <w:p w14:paraId="76281AB0">
      <w:pPr>
        <w:spacing w:line="640" w:lineRule="exact"/>
        <w:ind w:firstLine="640"/>
        <w:jc w:val="both"/>
        <w:outlineLvl w:val="3"/>
      </w:pPr>
      <w:r>
        <w:rPr>
          <w:rFonts w:ascii="楷体_GB2312" w:hAnsi="楷体_GB2312" w:eastAsia="楷体_GB2312"/>
          <w:b/>
          <w:sz w:val="32"/>
        </w:rPr>
        <w:t>（三）国有资产占用情况说明</w:t>
      </w:r>
    </w:p>
    <w:p w14:paraId="74ED4512">
      <w:pPr>
        <w:spacing w:line="580" w:lineRule="exact"/>
        <w:ind w:firstLine="640"/>
        <w:jc w:val="both"/>
      </w:pPr>
      <w:r>
        <w:rPr>
          <w:rFonts w:ascii="仿宋_GB2312" w:hAnsi="仿宋_GB2312" w:eastAsia="仿宋_GB2312"/>
          <w:b w:val="0"/>
          <w:sz w:val="32"/>
        </w:rPr>
        <w:t>截至2025年12月31日，房屋35,151.77平方米，价值4,653.76万元。车辆4辆，价值82.43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50835A71">
      <w:pPr>
        <w:spacing w:line="640" w:lineRule="exact"/>
        <w:ind w:firstLine="640"/>
        <w:jc w:val="both"/>
        <w:outlineLvl w:val="2"/>
      </w:pPr>
      <w:r>
        <w:rPr>
          <w:rFonts w:ascii="黑体" w:hAnsi="黑体" w:eastAsia="黑体"/>
          <w:sz w:val="32"/>
        </w:rPr>
        <w:t>十一、预算绩效的情况说明</w:t>
      </w:r>
    </w:p>
    <w:p w14:paraId="36FAC901">
      <w:pPr>
        <w:spacing w:line="580" w:lineRule="exact"/>
        <w:ind w:firstLine="640"/>
        <w:jc w:val="both"/>
      </w:pPr>
      <w:r>
        <w:rPr>
          <w:rFonts w:ascii="仿宋_GB2312" w:hAnsi="仿宋_GB2312" w:eastAsia="仿宋_GB2312"/>
          <w:b w:val="0"/>
          <w:sz w:val="32"/>
        </w:rPr>
        <w:t>根据预算绩效管理要求，本单位预算绩效评价项目1个，全年预算数103.25万元，全年执行数103.25万元。预算绩效管理取得的成效：一是预算管理理念开始转变，开始重视财政支出绩效问题，重视预算支出成本结果导向的绩效理念进一步树立；二是更清楚地了解财政支出所要取得的社会和经济效益，明确了“花钱必问效，无效必问责”，强化了自我约束意识和责任意识；三是增强了决策的科学性，项目安排的合理性，提高了预算的规范性，减少了资金支出的随意性，促进了资源整合，优化了支出结构，财政资金使用效益不断提高；四是提高了单位管理和服务水平，推进了高效、透明、责任政府的建设；五是促进预算执行进度，提高资金使用效益。发现的问题及原因：一是对绩效管理认识不足。重产出、重结果的绩效理念尚未真正建立，工作缺乏主动性；二是绩效指标设置指向不清。部分预算指标匹配不足，数量指标和质量指标量化不细，效益指标编制不完整等，导致绩效目标的设定缺乏科学性、合理性；三是预算绩效监控不及时。关注项目进度和资金使用情况的较多，对项目实施中存在的具体问题、采取的纠偏措施反映的较少，不能及时、客观</w:t>
      </w:r>
      <w:r>
        <w:rPr>
          <w:rFonts w:hint="eastAsia" w:ascii="仿宋_GB2312" w:hAnsi="仿宋_GB2312" w:eastAsia="仿宋_GB2312"/>
          <w:b w:val="0"/>
          <w:sz w:val="32"/>
          <w:lang w:eastAsia="zh-CN"/>
        </w:rPr>
        <w:t>地</w:t>
      </w:r>
      <w:r>
        <w:rPr>
          <w:rFonts w:ascii="仿宋_GB2312" w:hAnsi="仿宋_GB2312" w:eastAsia="仿宋_GB2312"/>
          <w:b w:val="0"/>
          <w:sz w:val="32"/>
        </w:rPr>
        <w:t>反映项目的支出绩效；四是人员素质参差不齐。在预算绩效评价方面，预算绩效管理人员业务能力不足，预算绩效评价指标、评价标准不够科学、合理，预算绩效评价方法较为简单、基础数据收集的不够完备，绩效评价质量有待提高。下一步改进措施：一是建立健全管理机构。建立绩效评价机构领导小组，明确绩效管理工作的职责分工，促进部门间的协作，切实将绩效管理工作落到实处；二是建立专项资金预算绩效指标体系。结合行业特点建立专项资金绩效指标和标准体系，逐步实现科学合理、细化量化、可比可测、动态调整、共建共享，突出结果导向，重点考核实绩的绩效体系；三是进一步强化绩效管理激励约束。逐步建立专家评审库，适时组织开展第三方评价工作，提高绩效评价的质量，促进绩效评价工作公平、公正和公开，逐步建立绩效评价结果与预算安排和政策调整的挂钩机制。具体附项目支出绩效自评表。</w:t>
      </w:r>
    </w:p>
    <w:p w14:paraId="6D4A5CCD">
      <w:r>
        <w:br w:type="page"/>
      </w:r>
    </w:p>
    <w:p w14:paraId="5438914A">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E3F1A26">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1838B0B">
            <w:pPr>
              <w:spacing w:before="0" w:after="0" w:line="240" w:lineRule="auto"/>
              <w:jc w:val="center"/>
            </w:pPr>
            <w:r>
              <w:rPr>
                <w:rFonts w:ascii="宋体" w:hAnsi="宋体" w:eastAsia="宋体"/>
                <w:b/>
                <w:i w:val="0"/>
                <w:sz w:val="32"/>
              </w:rPr>
              <w:t>项目支出绩效自评表</w:t>
            </w:r>
          </w:p>
        </w:tc>
      </w:tr>
      <w:tr w14:paraId="5E638AD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2D24B11">
            <w:pPr>
              <w:spacing w:before="0" w:after="0" w:line="240" w:lineRule="auto"/>
              <w:jc w:val="center"/>
            </w:pPr>
            <w:r>
              <w:rPr>
                <w:rFonts w:ascii="宋体" w:hAnsi="宋体" w:eastAsia="宋体"/>
                <w:b w:val="0"/>
                <w:i w:val="0"/>
                <w:sz w:val="22"/>
              </w:rPr>
              <w:t>(2025年度)</w:t>
            </w:r>
          </w:p>
        </w:tc>
      </w:tr>
      <w:tr w14:paraId="5EAA591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935F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E6957EE">
            <w:pPr>
              <w:spacing w:before="0" w:after="0" w:line="240" w:lineRule="auto"/>
              <w:jc w:val="center"/>
            </w:pPr>
            <w:r>
              <w:rPr>
                <w:rFonts w:ascii="宋体" w:hAnsi="宋体" w:eastAsia="宋体"/>
                <w:b w:val="0"/>
                <w:i w:val="0"/>
                <w:sz w:val="18"/>
              </w:rPr>
              <w:t>2025年部门预算非财政拨款项目</w:t>
            </w:r>
          </w:p>
        </w:tc>
      </w:tr>
      <w:tr w14:paraId="53F12AA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E67C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E56175">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1E036">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415F8">
            <w:pPr>
              <w:spacing w:before="0" w:after="0" w:line="240" w:lineRule="auto"/>
              <w:jc w:val="center"/>
            </w:pPr>
            <w:r>
              <w:rPr>
                <w:rFonts w:ascii="宋体" w:hAnsi="宋体" w:eastAsia="宋体"/>
                <w:b w:val="0"/>
                <w:i w:val="0"/>
                <w:sz w:val="18"/>
              </w:rPr>
              <w:t>新疆林业学校</w:t>
            </w:r>
          </w:p>
        </w:tc>
      </w:tr>
      <w:tr w14:paraId="45A8DE4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8A884">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28F1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53E5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F179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75A9B">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991A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803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CBCCD">
            <w:pPr>
              <w:spacing w:before="0" w:after="0" w:line="240" w:lineRule="auto"/>
              <w:jc w:val="center"/>
            </w:pPr>
            <w:r>
              <w:rPr>
                <w:rFonts w:ascii="宋体" w:hAnsi="宋体" w:eastAsia="宋体"/>
                <w:b/>
                <w:i w:val="0"/>
                <w:sz w:val="18"/>
              </w:rPr>
              <w:t>得分</w:t>
            </w:r>
          </w:p>
        </w:tc>
      </w:tr>
      <w:tr w14:paraId="5AF9EA5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39892A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6FFE6">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D6012">
            <w:pPr>
              <w:spacing w:before="0" w:after="0" w:line="240" w:lineRule="auto"/>
              <w:jc w:val="center"/>
            </w:pPr>
            <w:r>
              <w:rPr>
                <w:rFonts w:ascii="宋体" w:hAnsi="宋体" w:eastAsia="宋体"/>
                <w:b w:val="0"/>
                <w:i w:val="0"/>
                <w:sz w:val="18"/>
              </w:rPr>
              <w:t>103.25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5457E">
            <w:pPr>
              <w:spacing w:before="0" w:after="0" w:line="240" w:lineRule="auto"/>
              <w:jc w:val="center"/>
            </w:pPr>
            <w:r>
              <w:rPr>
                <w:rFonts w:ascii="宋体" w:hAnsi="宋体" w:eastAsia="宋体"/>
                <w:b w:val="0"/>
                <w:i w:val="0"/>
                <w:sz w:val="18"/>
              </w:rPr>
              <w:t>103.25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A90D4">
            <w:pPr>
              <w:spacing w:before="0" w:after="0" w:line="240" w:lineRule="auto"/>
              <w:jc w:val="center"/>
            </w:pPr>
            <w:r>
              <w:rPr>
                <w:rFonts w:ascii="宋体" w:hAnsi="宋体" w:eastAsia="宋体"/>
                <w:b w:val="0"/>
                <w:i w:val="0"/>
                <w:sz w:val="18"/>
              </w:rPr>
              <w:t>103.25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2EB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9C5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59C08">
            <w:pPr>
              <w:spacing w:before="0" w:after="0" w:line="240" w:lineRule="auto"/>
              <w:jc w:val="center"/>
            </w:pPr>
            <w:r>
              <w:rPr>
                <w:rFonts w:ascii="宋体" w:hAnsi="宋体" w:eastAsia="宋体"/>
                <w:b w:val="0"/>
                <w:i w:val="0"/>
                <w:sz w:val="18"/>
              </w:rPr>
              <w:t>10.00</w:t>
            </w:r>
          </w:p>
        </w:tc>
      </w:tr>
      <w:tr w14:paraId="34801A7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71B85A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77E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A4F7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5DBC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6F0C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5FBB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AF1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E1F1C">
            <w:pPr>
              <w:spacing w:before="0" w:after="0" w:line="240" w:lineRule="auto"/>
              <w:jc w:val="center"/>
            </w:pPr>
            <w:r>
              <w:rPr>
                <w:rFonts w:ascii="宋体" w:hAnsi="宋体" w:eastAsia="宋体"/>
                <w:b w:val="0"/>
                <w:i w:val="0"/>
                <w:sz w:val="18"/>
              </w:rPr>
              <w:t>—</w:t>
            </w:r>
          </w:p>
        </w:tc>
      </w:tr>
      <w:tr w14:paraId="7CCF7A7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1E0944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9A4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1C0EB">
            <w:pPr>
              <w:spacing w:before="0" w:after="0" w:line="240" w:lineRule="auto"/>
              <w:jc w:val="center"/>
            </w:pPr>
            <w:r>
              <w:rPr>
                <w:rFonts w:ascii="宋体" w:hAnsi="宋体" w:eastAsia="宋体"/>
                <w:b w:val="0"/>
                <w:i w:val="0"/>
                <w:sz w:val="18"/>
              </w:rPr>
              <w:t>103.25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3A22E">
            <w:pPr>
              <w:spacing w:before="0" w:after="0" w:line="240" w:lineRule="auto"/>
              <w:jc w:val="center"/>
            </w:pPr>
            <w:r>
              <w:rPr>
                <w:rFonts w:ascii="宋体" w:hAnsi="宋体" w:eastAsia="宋体"/>
                <w:b w:val="0"/>
                <w:i w:val="0"/>
                <w:sz w:val="18"/>
              </w:rPr>
              <w:t>103.25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A6983">
            <w:pPr>
              <w:spacing w:before="0" w:after="0" w:line="240" w:lineRule="auto"/>
              <w:jc w:val="center"/>
            </w:pPr>
            <w:r>
              <w:rPr>
                <w:rFonts w:ascii="宋体" w:hAnsi="宋体" w:eastAsia="宋体"/>
                <w:b w:val="0"/>
                <w:i w:val="0"/>
                <w:sz w:val="18"/>
              </w:rPr>
              <w:t>103.25</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B57D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D7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45A3D">
            <w:pPr>
              <w:spacing w:before="0" w:after="0" w:line="240" w:lineRule="auto"/>
              <w:jc w:val="center"/>
            </w:pPr>
            <w:r>
              <w:rPr>
                <w:rFonts w:ascii="宋体" w:hAnsi="宋体" w:eastAsia="宋体"/>
                <w:b w:val="0"/>
                <w:i w:val="0"/>
                <w:sz w:val="18"/>
              </w:rPr>
              <w:t>—</w:t>
            </w:r>
          </w:p>
        </w:tc>
      </w:tr>
      <w:tr w14:paraId="1142F62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A2FB0">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FDA5F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32C04">
            <w:pPr>
              <w:spacing w:before="0" w:after="0" w:line="240" w:lineRule="auto"/>
              <w:jc w:val="center"/>
            </w:pPr>
            <w:r>
              <w:rPr>
                <w:rFonts w:ascii="宋体" w:hAnsi="宋体" w:eastAsia="宋体"/>
                <w:b/>
                <w:i w:val="0"/>
                <w:sz w:val="18"/>
              </w:rPr>
              <w:t>实际完成情况</w:t>
            </w:r>
          </w:p>
        </w:tc>
      </w:tr>
      <w:tr w14:paraId="086FEA1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F24A8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EB7971">
            <w:pPr>
              <w:spacing w:before="0" w:after="0" w:line="240" w:lineRule="auto"/>
              <w:jc w:val="center"/>
            </w:pPr>
            <w:r>
              <w:rPr>
                <w:rFonts w:ascii="宋体" w:hAnsi="宋体" w:eastAsia="宋体"/>
                <w:b w:val="0"/>
                <w:i w:val="0"/>
                <w:sz w:val="18"/>
              </w:rPr>
              <w:t>学校紧紧围绕自治区教育厅中心工作，不断提升林业学校办学治校能力和水平，重点打造林业专业技术技能人才培养，改善办学条件，推动学校高质量发展，办学水平服务能</w:t>
            </w:r>
            <w:r>
              <w:rPr>
                <w:rFonts w:hint="eastAsia" w:ascii="宋体" w:hAnsi="宋体"/>
                <w:b w:val="0"/>
                <w:i w:val="0"/>
                <w:sz w:val="18"/>
                <w:lang w:eastAsia="zh-CN"/>
              </w:rPr>
              <w:t>力和</w:t>
            </w:r>
            <w:r>
              <w:rPr>
                <w:rFonts w:ascii="宋体" w:hAnsi="宋体" w:eastAsia="宋体"/>
                <w:b w:val="0"/>
                <w:i w:val="0"/>
                <w:sz w:val="18"/>
              </w:rPr>
              <w:t>社会影响力得到显著提升。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25CE4">
            <w:pPr>
              <w:spacing w:before="0" w:after="0" w:line="240" w:lineRule="auto"/>
              <w:jc w:val="center"/>
            </w:pPr>
            <w:r>
              <w:rPr>
                <w:rFonts w:ascii="宋体" w:hAnsi="宋体" w:eastAsia="宋体"/>
                <w:b w:val="0"/>
                <w:i w:val="0"/>
                <w:sz w:val="18"/>
              </w:rPr>
              <w:t>完成维修改造项目，完成高层次人才认定及绩效工资发放，推动学校高质量发展，办学水平服务能</w:t>
            </w:r>
            <w:r>
              <w:rPr>
                <w:rFonts w:hint="eastAsia" w:ascii="宋体" w:hAnsi="宋体"/>
                <w:b w:val="0"/>
                <w:i w:val="0"/>
                <w:sz w:val="18"/>
                <w:lang w:eastAsia="zh-CN"/>
              </w:rPr>
              <w:t>力和</w:t>
            </w:r>
            <w:r>
              <w:rPr>
                <w:rFonts w:ascii="宋体" w:hAnsi="宋体" w:eastAsia="宋体"/>
                <w:b w:val="0"/>
                <w:i w:val="0"/>
                <w:sz w:val="18"/>
              </w:rPr>
              <w:t>社会影响力得到显著提升。</w:t>
            </w:r>
          </w:p>
        </w:tc>
      </w:tr>
      <w:tr w14:paraId="57213C6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06C4A">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39DB9">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41075">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70188">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4358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3BA7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764B2">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9B8FC">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6BFC2">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8866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15AA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3FC28">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5D5B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D6114">
            <w:pPr>
              <w:spacing w:before="0" w:after="0" w:line="240" w:lineRule="auto"/>
              <w:jc w:val="center"/>
            </w:pPr>
            <w:r>
              <w:rPr>
                <w:rFonts w:ascii="宋体" w:hAnsi="宋体" w:eastAsia="宋体"/>
                <w:b/>
                <w:i w:val="0"/>
                <w:sz w:val="18"/>
              </w:rPr>
              <w:t>偏差原因分析及改进措施</w:t>
            </w:r>
          </w:p>
        </w:tc>
      </w:tr>
      <w:tr w14:paraId="41ACA17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0B25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F62D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1A53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0C5C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57600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7D9B6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19A91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EE40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C2226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9A97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A39FA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4C53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DABB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41F9EC"/>
        </w:tc>
      </w:tr>
      <w:tr w14:paraId="6BA030A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7968D">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B4C03">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8465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C676B">
            <w:pPr>
              <w:spacing w:before="0" w:after="0" w:line="240" w:lineRule="auto"/>
              <w:jc w:val="center"/>
            </w:pPr>
            <w:r>
              <w:rPr>
                <w:rFonts w:ascii="宋体" w:hAnsi="宋体" w:eastAsia="宋体"/>
                <w:b w:val="0"/>
                <w:i w:val="0"/>
                <w:sz w:val="18"/>
              </w:rPr>
              <w:t>维修改造项目</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4134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7C5F0">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EA6E1">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3BB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258F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07987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81A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5E00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B977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E78B5">
            <w:pPr>
              <w:spacing w:before="0" w:after="0" w:line="240" w:lineRule="auto"/>
              <w:jc w:val="center"/>
            </w:pPr>
          </w:p>
        </w:tc>
      </w:tr>
      <w:tr w14:paraId="0CD74A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A6EC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97AE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558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D814F">
            <w:pPr>
              <w:spacing w:before="0" w:after="0" w:line="240" w:lineRule="auto"/>
              <w:jc w:val="center"/>
            </w:pPr>
            <w:r>
              <w:rPr>
                <w:rFonts w:ascii="宋体" w:hAnsi="宋体" w:eastAsia="宋体"/>
                <w:b w:val="0"/>
                <w:i w:val="0"/>
                <w:sz w:val="18"/>
              </w:rPr>
              <w:t>高层次人才培养人数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4287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09516">
            <w:pPr>
              <w:spacing w:before="0" w:after="0" w:line="240" w:lineRule="auto"/>
              <w:jc w:val="center"/>
            </w:pPr>
            <w:r>
              <w:rPr>
                <w:rFonts w:ascii="宋体" w:hAnsi="宋体" w:eastAsia="宋体"/>
                <w:b w:val="0"/>
                <w:i w:val="0"/>
                <w:sz w:val="18"/>
              </w:rPr>
              <w:t>&gt;=4个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760939">
            <w:pPr>
              <w:spacing w:before="0" w:after="0" w:line="240" w:lineRule="auto"/>
              <w:jc w:val="center"/>
            </w:pPr>
            <w:r>
              <w:rPr>
                <w:rFonts w:ascii="宋体" w:hAnsi="宋体" w:eastAsia="宋体"/>
                <w:b w:val="0"/>
                <w:i w:val="0"/>
                <w:sz w:val="18"/>
              </w:rPr>
              <w:t>=11个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808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1283B">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4DA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6D23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EA66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DA94A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41F86">
            <w:pPr>
              <w:spacing w:before="0" w:after="0" w:line="240" w:lineRule="auto"/>
              <w:jc w:val="center"/>
            </w:pPr>
          </w:p>
        </w:tc>
      </w:tr>
      <w:tr w14:paraId="4AC2BB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2A60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5E430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070E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39EA7">
            <w:pPr>
              <w:spacing w:before="0" w:after="0" w:line="240" w:lineRule="auto"/>
              <w:jc w:val="center"/>
            </w:pPr>
            <w:r>
              <w:rPr>
                <w:rFonts w:ascii="宋体" w:hAnsi="宋体" w:eastAsia="宋体"/>
                <w:b w:val="0"/>
                <w:i w:val="0"/>
                <w:sz w:val="18"/>
              </w:rPr>
              <w:t>维修改造项目验收合格率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7FC88">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A33DF">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3BD8F7">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1F27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FC401">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642E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E95E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AB84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9589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40B15">
            <w:pPr>
              <w:spacing w:before="0" w:after="0" w:line="240" w:lineRule="auto"/>
              <w:jc w:val="center"/>
            </w:pPr>
          </w:p>
        </w:tc>
      </w:tr>
      <w:tr w14:paraId="170F0D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D191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DBF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571E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22E7D">
            <w:pPr>
              <w:spacing w:before="0" w:after="0" w:line="240" w:lineRule="auto"/>
              <w:jc w:val="center"/>
            </w:pPr>
            <w:r>
              <w:rPr>
                <w:rFonts w:ascii="宋体" w:hAnsi="宋体" w:eastAsia="宋体"/>
                <w:b w:val="0"/>
                <w:i w:val="0"/>
                <w:sz w:val="18"/>
              </w:rPr>
              <w:t>培养人才合格率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FAF1F">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A0811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2556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573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E794A">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C911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D42D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889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8405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6E6B1">
            <w:pPr>
              <w:spacing w:before="0" w:after="0" w:line="240" w:lineRule="auto"/>
              <w:jc w:val="center"/>
            </w:pPr>
          </w:p>
        </w:tc>
      </w:tr>
      <w:tr w14:paraId="4D0CC3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996B7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3568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72DA1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D8C5BC">
            <w:pPr>
              <w:spacing w:before="0" w:after="0" w:line="240" w:lineRule="auto"/>
              <w:jc w:val="center"/>
            </w:pPr>
            <w:r>
              <w:rPr>
                <w:rFonts w:ascii="宋体" w:hAnsi="宋体" w:eastAsia="宋体"/>
                <w:b w:val="0"/>
                <w:i w:val="0"/>
                <w:sz w:val="18"/>
              </w:rPr>
              <w:t>保障校园正常运转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9CA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BDE01">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F32A8">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783C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A472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7672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9D4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F71BB">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2CA3E">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46F1E">
            <w:pPr>
              <w:spacing w:before="0" w:after="0" w:line="240" w:lineRule="auto"/>
              <w:jc w:val="center"/>
            </w:pPr>
          </w:p>
        </w:tc>
      </w:tr>
      <w:tr w14:paraId="6237082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033AB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C776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6525D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EC343">
            <w:pPr>
              <w:spacing w:before="0" w:after="0" w:line="240" w:lineRule="auto"/>
              <w:jc w:val="center"/>
            </w:pPr>
            <w:r>
              <w:rPr>
                <w:rFonts w:ascii="宋体" w:hAnsi="宋体" w:eastAsia="宋体"/>
                <w:b w:val="0"/>
                <w:i w:val="0"/>
                <w:sz w:val="18"/>
              </w:rPr>
              <w:t>教职工满意度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5215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3257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2DFB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138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F164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46DD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9D83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6C37B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6AAB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CD8EE">
            <w:pPr>
              <w:spacing w:before="0" w:after="0" w:line="240" w:lineRule="auto"/>
              <w:jc w:val="center"/>
            </w:pPr>
          </w:p>
        </w:tc>
      </w:tr>
      <w:tr w14:paraId="484EADC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60C9B3">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C326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76D4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6E2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9E60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AADD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C89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7B50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A7ED1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632BE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901BD">
            <w:pPr>
              <w:spacing w:before="0" w:after="0" w:line="240" w:lineRule="auto"/>
              <w:jc w:val="center"/>
            </w:pPr>
          </w:p>
        </w:tc>
      </w:tr>
    </w:tbl>
    <w:p w14:paraId="39D5200D">
      <w:r>
        <w:br w:type="page"/>
      </w:r>
    </w:p>
    <w:p w14:paraId="1A7823DF">
      <w:pPr>
        <w:sectPr>
          <w:type w:val="continuous"/>
          <w:pgSz w:w="11906" w:h="16838"/>
          <w:pgMar w:top="1440" w:right="1800" w:bottom="1440" w:left="1800" w:header="851" w:footer="992" w:gutter="0"/>
          <w:cols w:space="720" w:num="1"/>
          <w:docGrid w:type="lines" w:linePitch="312" w:charSpace="0"/>
        </w:sectPr>
      </w:pPr>
    </w:p>
    <w:p w14:paraId="515663CB">
      <w:pPr>
        <w:spacing w:line="640" w:lineRule="exact"/>
        <w:ind w:firstLine="640"/>
        <w:jc w:val="both"/>
        <w:outlineLvl w:val="2"/>
      </w:pPr>
      <w:r>
        <w:rPr>
          <w:rFonts w:ascii="黑体" w:hAnsi="黑体" w:eastAsia="黑体"/>
          <w:sz w:val="32"/>
        </w:rPr>
        <w:t>十二、其他需说明的事项</w:t>
      </w:r>
    </w:p>
    <w:p w14:paraId="3B9746A2">
      <w:pPr>
        <w:spacing w:line="580" w:lineRule="exact"/>
        <w:ind w:firstLine="640"/>
        <w:jc w:val="both"/>
      </w:pPr>
      <w:r>
        <w:rPr>
          <w:rFonts w:ascii="仿宋_GB2312" w:hAnsi="仿宋_GB2312" w:eastAsia="仿宋_GB2312"/>
          <w:b w:val="0"/>
          <w:sz w:val="32"/>
        </w:rPr>
        <w:t>本单位无其他需说明的事项。</w:t>
      </w:r>
    </w:p>
    <w:p w14:paraId="442A8F39">
      <w:r>
        <w:br w:type="page"/>
      </w:r>
    </w:p>
    <w:p w14:paraId="611D1D67">
      <w:pPr>
        <w:spacing w:line="600" w:lineRule="exact"/>
        <w:jc w:val="center"/>
        <w:outlineLvl w:val="0"/>
      </w:pPr>
      <w:r>
        <w:rPr>
          <w:rFonts w:ascii="黑体" w:hAnsi="黑体" w:eastAsia="黑体"/>
          <w:sz w:val="32"/>
        </w:rPr>
        <w:t>第三部分 专业名词解释</w:t>
      </w:r>
    </w:p>
    <w:p w14:paraId="67D4BF4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C52859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142EE1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5EE560E">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309411">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9B94AD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4564F5A">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78B8D8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9D3051A">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80286BF">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933B12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20FB4A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CC4B4E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A91C95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40AD29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D462DC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9F8DF7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6002AED">
      <w:r>
        <w:br w:type="page"/>
      </w:r>
    </w:p>
    <w:p w14:paraId="6FD74D0E">
      <w:pPr>
        <w:spacing w:line="240" w:lineRule="auto"/>
        <w:jc w:val="center"/>
        <w:outlineLvl w:val="1"/>
      </w:pPr>
      <w:r>
        <w:rPr>
          <w:rFonts w:ascii="黑体" w:hAnsi="黑体" w:eastAsia="黑体"/>
          <w:sz w:val="32"/>
        </w:rPr>
        <w:t>第四部分 部门决算报表（见附表）</w:t>
      </w:r>
    </w:p>
    <w:p w14:paraId="28A30B45">
      <w:pPr>
        <w:autoSpaceDE w:val="0"/>
        <w:autoSpaceDN w:val="0"/>
        <w:spacing w:line="600" w:lineRule="exact"/>
        <w:ind w:firstLine="640" w:firstLineChars="200"/>
      </w:pPr>
      <w:r>
        <w:rPr>
          <w:rFonts w:ascii="仿宋_GB2312" w:hAnsi="仿宋_GB2312" w:eastAsia="仿宋_GB2312"/>
          <w:b w:val="0"/>
          <w:sz w:val="32"/>
        </w:rPr>
        <w:t>一、《收入支出决算总表》</w:t>
      </w:r>
    </w:p>
    <w:p w14:paraId="79A9900F">
      <w:pPr>
        <w:autoSpaceDE w:val="0"/>
        <w:autoSpaceDN w:val="0"/>
        <w:spacing w:line="600" w:lineRule="exact"/>
        <w:ind w:firstLine="640" w:firstLineChars="200"/>
      </w:pPr>
      <w:r>
        <w:rPr>
          <w:rFonts w:ascii="仿宋_GB2312" w:hAnsi="仿宋_GB2312" w:eastAsia="仿宋_GB2312"/>
          <w:b w:val="0"/>
          <w:sz w:val="32"/>
        </w:rPr>
        <w:t>二、《收入决算表》</w:t>
      </w:r>
    </w:p>
    <w:p w14:paraId="5EE31F1F">
      <w:pPr>
        <w:autoSpaceDE w:val="0"/>
        <w:autoSpaceDN w:val="0"/>
        <w:spacing w:line="600" w:lineRule="exact"/>
        <w:ind w:firstLine="640" w:firstLineChars="200"/>
      </w:pPr>
      <w:r>
        <w:rPr>
          <w:rFonts w:ascii="仿宋_GB2312" w:hAnsi="仿宋_GB2312" w:eastAsia="仿宋_GB2312"/>
          <w:b w:val="0"/>
          <w:sz w:val="32"/>
        </w:rPr>
        <w:t>三、《支出决算表》</w:t>
      </w:r>
    </w:p>
    <w:p w14:paraId="42F886AA">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FBB5179">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8A53DB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09227B9">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B99D50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930DA54">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9C559C6">
      <w:pPr>
        <w:autoSpaceDE w:val="0"/>
        <w:autoSpaceDN w:val="0"/>
        <w:spacing w:line="600" w:lineRule="exact"/>
        <w:ind w:firstLine="640" w:firstLineChars="200"/>
      </w:pPr>
    </w:p>
    <w:p w14:paraId="4AA98479">
      <w:pPr>
        <w:autoSpaceDE w:val="0"/>
        <w:autoSpaceDN w:val="0"/>
        <w:spacing w:line="600" w:lineRule="exact"/>
        <w:ind w:firstLine="640" w:firstLineChars="200"/>
      </w:pPr>
    </w:p>
    <w:p w14:paraId="6A49A07D">
      <w:pPr>
        <w:autoSpaceDE w:val="0"/>
        <w:autoSpaceDN w:val="0"/>
        <w:spacing w:line="600" w:lineRule="exact"/>
        <w:ind w:firstLine="640" w:firstLineChars="200"/>
      </w:pPr>
    </w:p>
    <w:p w14:paraId="2FBC17B4">
      <w:pPr>
        <w:autoSpaceDE w:val="0"/>
        <w:autoSpaceDN w:val="0"/>
        <w:spacing w:line="600" w:lineRule="exact"/>
        <w:ind w:firstLine="640" w:firstLineChars="200"/>
      </w:pPr>
    </w:p>
    <w:p w14:paraId="7AD95555">
      <w:pPr>
        <w:autoSpaceDE w:val="0"/>
        <w:autoSpaceDN w:val="0"/>
        <w:spacing w:line="600" w:lineRule="exact"/>
        <w:ind w:firstLine="640" w:firstLineChars="200"/>
      </w:pP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9A3AA6-C5E2-474B-B08B-B4D2D972B0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D1D3046-7BFB-41D4-A359-3712A76F27A9}"/>
  </w:font>
  <w:font w:name="仿宋_GB2312">
    <w:panose1 w:val="02010609030101010101"/>
    <w:charset w:val="86"/>
    <w:family w:val="modern"/>
    <w:pitch w:val="default"/>
    <w:sig w:usb0="00000001" w:usb1="080E0000" w:usb2="00000000" w:usb3="00000000" w:csb0="00040000" w:csb1="00000000"/>
    <w:embedRegular r:id="rId3" w:fontKey="{02F22305-F5B6-4B19-BEAC-9CAD66BD4C0D}"/>
  </w:font>
  <w:font w:name="楷体_GB2312">
    <w:altName w:val="楷体"/>
    <w:panose1 w:val="00000000000000000000"/>
    <w:charset w:val="00"/>
    <w:family w:val="auto"/>
    <w:pitch w:val="default"/>
    <w:sig w:usb0="00000000" w:usb1="00000000" w:usb2="00000000" w:usb3="00000000" w:csb0="00000000" w:csb1="00000000"/>
    <w:embedRegular r:id="rId4" w:fontKey="{D849BC12-F461-488D-ADF4-10319620ECB2}"/>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3F2157A"/>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2648bfe2-4568-464b-8b55-90b21eb1347a</errorID>
      <errorWord>合</errorWord>
      <group>L1_Word</group>
      <groupName>字词问题</groupName>
      <ability>L2_Typo</ability>
      <abilityName>字词错误</abilityName>
      <candidateList>
        <item>合作</item>
      </candidateList>
      <explain/>
      <paraID> D77269F</paraID>
      <start>71</start>
      <end>72</end>
      <status>ignored</status>
      <modifiedWord/>
      <trackRevisions>false</trackRevisions>
    </reviewItem>
    <reviewItem>
      <errorID>96752a6d-f1f2-482a-9744-52ee058e803a</errorID>
      <errorWord>2月31日</errorWord>
      <group>L1_Sensitive</group>
      <groupName>敏感问题</groupName>
      <ability>L2_UserSensitive</ability>
      <abilityName>自定义敏感词</abilityName>
      <candidateList/>
      <explain>来自自定义敏感词库。</explain>
      <paraID>74ED4512</paraID>
      <start>8</start>
      <end>13</end>
      <status>ignored</status>
      <modifiedWord/>
      <trackRevisions>false</trackRevisions>
    </reviewItem>
    <reviewItem>
      <errorID>23d8b747-3e13-4214-a6fc-81e72197f126</errorID>
      <errorWord>监控</errorWord>
      <group>L1_Sensitive</group>
      <groupName>敏感问题</groupName>
      <ability>L2_UserSensitive</ability>
      <abilityName>自定义敏感词</abilityName>
      <candidateList/>
      <explain>来自自定义敏感词库。</explain>
      <paraID>36FAC901</paraID>
      <start>417</start>
      <end>419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665c746-5e84-41c0-abe6-7cc6e59b4b4f}">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7320</Words>
  <Characters>8154</Characters>
  <Lines>10</Lines>
  <Paragraphs>2</Paragraphs>
  <TotalTime>11</TotalTime>
  <ScaleCrop>false</ScaleCrop>
  <LinksUpToDate>false</LinksUpToDate>
  <CharactersWithSpaces>8164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2026-09-01T04:09:29Z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