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新疆建设职业技术学院</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14:paraId="072E64BE">
      <w:r>
        <w:br w:type="page"/>
      </w:r>
    </w:p>
    <w:p w14:paraId="38FB8497">
      <w:pPr>
        <w:spacing w:line="640" w:lineRule="exact"/>
        <w:jc w:val="center"/>
        <w:outlineLvl w:val="1"/>
      </w:pPr>
      <w:r>
        <w:rPr>
          <w:rFonts w:ascii="黑体" w:hAnsi="黑体" w:eastAsia="黑体"/>
          <w:sz w:val="32"/>
        </w:rPr>
        <w:t>第一部分 单位概况</w:t>
      </w:r>
    </w:p>
    <w:p w14:paraId="308F336C">
      <w:pPr>
        <w:spacing w:line="640" w:lineRule="exact"/>
        <w:ind w:firstLine="640"/>
        <w:jc w:val="both"/>
        <w:outlineLvl w:val="2"/>
      </w:pPr>
      <w:r>
        <w:rPr>
          <w:rFonts w:ascii="黑体" w:hAnsi="黑体" w:eastAsia="黑体"/>
          <w:sz w:val="32"/>
        </w:rPr>
        <w:t>一、主要职能</w:t>
      </w:r>
    </w:p>
    <w:p w14:paraId="0582861C">
      <w:pPr>
        <w:spacing w:line="580" w:lineRule="exact"/>
        <w:ind w:firstLine="640"/>
        <w:jc w:val="both"/>
      </w:pPr>
      <w:r>
        <w:rPr>
          <w:rFonts w:ascii="仿宋_GB2312" w:hAnsi="仿宋_GB2312" w:eastAsia="仿宋_GB2312"/>
          <w:sz w:val="32"/>
        </w:rPr>
        <w:t>新疆建设职业技术学院（新疆建设技师培训学校）是新疆维吾尔自治区教育厅下属的差额拨款事业单位，面向全国招收和培养普通高职、中等职业学历教育及成人高等教育的学院。新疆建设职业技术学院（新疆建设技师培训学校）经自治区人民政府批准成立于2002年11月，前身由创建于1973年的新疆建筑技工学校、1978年的新疆建筑职工大学、1981年的新疆建筑材料工业学校、1985年的新疆城市建设学校合并组建而成。2006年，经自治区人民政府批准又成立了新疆建设技师培训学院。新疆建设职业技术学院（新疆建设技师培训学校）隶属于新疆维吾尔自治区教育厅，是新疆维吾尔自治区唯一所公办建设类全日制高等职业院校。学院以高职教育为主体，以中专和成人教育为两翼，中高职有效衔接，打通职业教育与成人教育、职业教育与普通本科教育的通道，构建了人才培养可持续发展的“立交桥”。</w:t>
      </w:r>
    </w:p>
    <w:p w14:paraId="522CB377">
      <w:pPr>
        <w:spacing w:line="640" w:lineRule="exact"/>
        <w:ind w:firstLine="640"/>
        <w:jc w:val="both"/>
        <w:outlineLvl w:val="2"/>
      </w:pPr>
      <w:r>
        <w:rPr>
          <w:rFonts w:ascii="黑体" w:hAnsi="黑体" w:eastAsia="黑体"/>
          <w:sz w:val="32"/>
        </w:rPr>
        <w:t>二、机构设置</w:t>
      </w:r>
    </w:p>
    <w:p w14:paraId="08951101">
      <w:pPr>
        <w:spacing w:line="580" w:lineRule="exact"/>
        <w:ind w:firstLine="640"/>
        <w:jc w:val="both"/>
      </w:pPr>
      <w:r>
        <w:rPr>
          <w:rFonts w:ascii="仿宋_GB2312" w:hAnsi="仿宋_GB2312" w:eastAsia="仿宋_GB2312"/>
          <w:sz w:val="32"/>
        </w:rPr>
        <w:t>新疆建设职业技术学院无下属预算单位。</w:t>
      </w:r>
    </w:p>
    <w:p w14:paraId="13EFD0A4">
      <w:r>
        <w:br w:type="page"/>
      </w:r>
    </w:p>
    <w:p w14:paraId="6EB9C8F4">
      <w:pPr>
        <w:spacing w:line="240" w:lineRule="auto"/>
        <w:jc w:val="center"/>
        <w:outlineLvl w:val="1"/>
      </w:pPr>
      <w:r>
        <w:rPr>
          <w:rFonts w:ascii="黑体" w:hAnsi="黑体" w:eastAsia="黑体"/>
          <w:sz w:val="32"/>
        </w:rPr>
        <w:t>第二部分 部门决算情况说明</w:t>
      </w:r>
    </w:p>
    <w:p w14:paraId="586F7499">
      <w:pPr>
        <w:spacing w:line="640" w:lineRule="exact"/>
        <w:ind w:firstLine="640"/>
        <w:jc w:val="both"/>
        <w:outlineLvl w:val="2"/>
      </w:pPr>
      <w:r>
        <w:rPr>
          <w:rFonts w:ascii="黑体" w:hAnsi="黑体" w:eastAsia="黑体"/>
          <w:sz w:val="32"/>
        </w:rPr>
        <w:t>一、收入支出决算总体情况说明</w:t>
      </w:r>
    </w:p>
    <w:p w14:paraId="5D818112">
      <w:pPr>
        <w:spacing w:line="580" w:lineRule="exact"/>
        <w:ind w:firstLine="640"/>
        <w:jc w:val="both"/>
      </w:pPr>
      <w:r>
        <w:rPr>
          <w:rFonts w:ascii="仿宋_GB2312" w:hAnsi="仿宋_GB2312" w:eastAsia="仿宋_GB2312"/>
          <w:b/>
          <w:sz w:val="32"/>
        </w:rPr>
        <w:t>2025年度收入总计14,871.03万元，</w:t>
      </w:r>
      <w:r>
        <w:rPr>
          <w:rFonts w:ascii="仿宋_GB2312" w:hAnsi="仿宋_GB2312" w:eastAsia="仿宋_GB2312"/>
          <w:b w:val="0"/>
          <w:sz w:val="32"/>
        </w:rPr>
        <w:t>其中：本年收入合计14,723.36万元，使用非财政拨款结余（含专用结余）0.00万元，年初结转和结余147.67万元。</w:t>
      </w:r>
    </w:p>
    <w:p w14:paraId="22A181E7">
      <w:pPr>
        <w:spacing w:line="580" w:lineRule="exact"/>
        <w:ind w:firstLine="640"/>
        <w:jc w:val="both"/>
      </w:pPr>
      <w:r>
        <w:rPr>
          <w:rFonts w:ascii="仿宋_GB2312" w:hAnsi="仿宋_GB2312" w:eastAsia="仿宋_GB2312"/>
          <w:b/>
          <w:sz w:val="32"/>
        </w:rPr>
        <w:t>2025年度支出总计14,871.03万元，</w:t>
      </w:r>
      <w:r>
        <w:rPr>
          <w:rFonts w:ascii="仿宋_GB2312" w:hAnsi="仿宋_GB2312" w:eastAsia="仿宋_GB2312"/>
          <w:b w:val="0"/>
          <w:sz w:val="32"/>
        </w:rPr>
        <w:t>其中：本年支出合计14,681.97万元，结余分配66.34万元，年末结转和结余122.73万元。</w:t>
      </w:r>
    </w:p>
    <w:p w14:paraId="34A69BC7">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减少3,253.00万元，下降17.95%，主要原因是：中央现代职业教育质量提升收入列入、自治区本级高校生均拨等项目收入较2024年有所减少，此外因为2025年建筑行业培训市场不景气因素，事业收入相较于2024年也有所减少，共同导致收入支出总体比去年下降。</w:t>
      </w:r>
    </w:p>
    <w:p w14:paraId="7BE9084A">
      <w:pPr>
        <w:spacing w:line="640" w:lineRule="exact"/>
        <w:ind w:firstLine="640"/>
        <w:jc w:val="both"/>
        <w:outlineLvl w:val="2"/>
      </w:pPr>
      <w:r>
        <w:rPr>
          <w:rFonts w:ascii="黑体" w:hAnsi="黑体" w:eastAsia="黑体"/>
          <w:sz w:val="32"/>
        </w:rPr>
        <w:t>二、收入决算情况说明</w:t>
      </w:r>
    </w:p>
    <w:p w14:paraId="654B8638">
      <w:pPr>
        <w:spacing w:line="580" w:lineRule="exact"/>
        <w:ind w:firstLine="640"/>
        <w:jc w:val="both"/>
      </w:pPr>
      <w:r>
        <w:rPr>
          <w:rFonts w:ascii="仿宋_GB2312" w:hAnsi="仿宋_GB2312" w:eastAsia="仿宋_GB2312"/>
          <w:b/>
          <w:sz w:val="32"/>
        </w:rPr>
        <w:t>本年收入14,723.36万元，</w:t>
      </w:r>
      <w:r>
        <w:rPr>
          <w:rFonts w:ascii="仿宋_GB2312" w:hAnsi="仿宋_GB2312" w:eastAsia="仿宋_GB2312"/>
          <w:b w:val="0"/>
          <w:sz w:val="32"/>
        </w:rPr>
        <w:t>其中：财政拨款收入11,345.74万元，占77.06%；上级补助收入0.00万元，占0.00%；事业收入2,280.09万元，占15.49%；经营收入0.00万元，占0.00%；附属单位上缴收入0.00万元，占0.00%；其他收入1,097.53万元，占7.45%。</w:t>
      </w:r>
    </w:p>
    <w:p w14:paraId="0E62DA28">
      <w:pPr>
        <w:spacing w:line="640" w:lineRule="exact"/>
        <w:ind w:firstLine="640"/>
        <w:jc w:val="both"/>
        <w:outlineLvl w:val="2"/>
      </w:pPr>
      <w:r>
        <w:rPr>
          <w:rFonts w:ascii="黑体" w:hAnsi="黑体" w:eastAsia="黑体"/>
          <w:sz w:val="32"/>
        </w:rPr>
        <w:t>三、支出决算情况说明</w:t>
      </w:r>
    </w:p>
    <w:p w14:paraId="2986D3C6">
      <w:pPr>
        <w:spacing w:line="580" w:lineRule="exact"/>
        <w:ind w:firstLine="640"/>
        <w:jc w:val="both"/>
      </w:pPr>
      <w:r>
        <w:rPr>
          <w:rFonts w:ascii="仿宋_GB2312" w:hAnsi="仿宋_GB2312" w:eastAsia="仿宋_GB2312"/>
          <w:b/>
          <w:sz w:val="32"/>
        </w:rPr>
        <w:t>本年支出14,681.97万元，</w:t>
      </w:r>
      <w:r>
        <w:rPr>
          <w:rFonts w:ascii="仿宋_GB2312" w:hAnsi="仿宋_GB2312" w:eastAsia="仿宋_GB2312"/>
          <w:b w:val="0"/>
          <w:sz w:val="32"/>
        </w:rPr>
        <w:t>其中：基本支出11,253.64万元，占76.65%；项目支出3,428.33万元，占23.35%；上缴上级支出0.00万元，占0.00%；经营支出0.00万元，占0.00%；对附属单位补助支出0.00万元，占0.00%。</w:t>
      </w:r>
    </w:p>
    <w:p w14:paraId="399D9E70">
      <w:pPr>
        <w:spacing w:line="640" w:lineRule="exact"/>
        <w:ind w:firstLine="640"/>
        <w:jc w:val="both"/>
        <w:outlineLvl w:val="2"/>
      </w:pPr>
      <w:r>
        <w:rPr>
          <w:rFonts w:ascii="黑体" w:hAnsi="黑体" w:eastAsia="黑体"/>
          <w:sz w:val="32"/>
        </w:rPr>
        <w:t>四、财政拨款收入支出决算总体情况说明</w:t>
      </w:r>
    </w:p>
    <w:p w14:paraId="18B5323F">
      <w:pPr>
        <w:spacing w:line="580" w:lineRule="exact"/>
        <w:ind w:firstLine="640"/>
        <w:jc w:val="both"/>
      </w:pPr>
      <w:r>
        <w:rPr>
          <w:rFonts w:ascii="仿宋_GB2312" w:hAnsi="仿宋_GB2312" w:eastAsia="仿宋_GB2312"/>
          <w:b/>
          <w:sz w:val="32"/>
        </w:rPr>
        <w:t>2025年度财政拨款收入总计11,395.82万元，</w:t>
      </w:r>
      <w:r>
        <w:rPr>
          <w:rFonts w:ascii="仿宋_GB2312" w:hAnsi="仿宋_GB2312" w:eastAsia="仿宋_GB2312"/>
          <w:b w:val="0"/>
          <w:sz w:val="32"/>
        </w:rPr>
        <w:t>其中：年初财政拨款结转和结余50.08万元，本年财政拨款收入11,345.74万元。</w:t>
      </w:r>
      <w:r>
        <w:rPr>
          <w:rFonts w:ascii="仿宋_GB2312" w:hAnsi="仿宋_GB2312" w:eastAsia="仿宋_GB2312"/>
          <w:b/>
          <w:sz w:val="32"/>
        </w:rPr>
        <w:t>财政拨款支出总计11,395.82万元，</w:t>
      </w:r>
      <w:r>
        <w:rPr>
          <w:rFonts w:ascii="仿宋_GB2312" w:hAnsi="仿宋_GB2312" w:eastAsia="仿宋_GB2312"/>
          <w:b w:val="0"/>
          <w:sz w:val="32"/>
        </w:rPr>
        <w:t>其中：年末财政拨款结转和结余4.36万元，本年财政拨款支出11,391.47万元。</w:t>
      </w:r>
    </w:p>
    <w:p w14:paraId="2CA5DFF9">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减少3,254.27万元，下降22.21%，主要原因是：自治区本级高校生均拨款、中央现代职业教育质量提升学生宿舍楼房建项目等项目支出较上年大幅减少。</w:t>
      </w:r>
      <w:r>
        <w:rPr>
          <w:rFonts w:ascii="仿宋_GB2312" w:hAnsi="仿宋_GB2312" w:eastAsia="仿宋_GB2312"/>
          <w:b/>
          <w:sz w:val="32"/>
        </w:rPr>
        <w:t>与年初预算相比，</w:t>
      </w:r>
      <w:r>
        <w:rPr>
          <w:rFonts w:ascii="仿宋_GB2312" w:hAnsi="仿宋_GB2312" w:eastAsia="仿宋_GB2312"/>
          <w:b w:val="0"/>
          <w:sz w:val="32"/>
        </w:rPr>
        <w:t>年初预算数11,472.63万元，决算数11,395.82万元，预决算差异率-0.67%，主要原因是：年中根据实际情况，调减学生奖助学金、三免项目资金、天山英才培养计划、自治区高校银龄教师补助、驻村工作经费、驻村工作队员南疆工作补贴等项目资金及在职、退休及离休基础绩效、在职离休艰边贴等人员经费，故存在预决算差异。</w:t>
      </w:r>
    </w:p>
    <w:p w14:paraId="54D27D35">
      <w:pPr>
        <w:spacing w:line="640" w:lineRule="exact"/>
        <w:ind w:firstLine="640"/>
        <w:jc w:val="both"/>
        <w:outlineLvl w:val="2"/>
      </w:pPr>
      <w:r>
        <w:rPr>
          <w:rFonts w:ascii="黑体" w:hAnsi="黑体" w:eastAsia="黑体"/>
          <w:sz w:val="32"/>
        </w:rPr>
        <w:t>五、一般公共预算财政拨款支出决算情况说明</w:t>
      </w:r>
    </w:p>
    <w:p w14:paraId="268A75C3">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w:t>
      </w:r>
      <w:r>
        <w:rPr>
          <w:rFonts w:hint="eastAsia" w:ascii="仿宋_GB2312" w:hAnsi="仿宋_GB2312" w:eastAsia="仿宋_GB2312"/>
          <w:b w:val="0"/>
          <w:sz w:val="32"/>
        </w:rPr>
        <w:t>普通高职、中等职业学历教育及成人高等教育</w:t>
      </w:r>
      <w:r>
        <w:rPr>
          <w:rFonts w:ascii="仿宋_GB2312" w:hAnsi="仿宋_GB2312" w:eastAsia="仿宋_GB2312"/>
          <w:b w:val="0"/>
          <w:sz w:val="32"/>
        </w:rPr>
        <w:t>等重点支出，体现在有关支出科目中。</w:t>
      </w:r>
    </w:p>
    <w:p w14:paraId="1C451777">
      <w:pPr>
        <w:spacing w:line="580" w:lineRule="exact"/>
        <w:ind w:firstLine="640"/>
        <w:jc w:val="both"/>
      </w:pPr>
      <w:r>
        <w:rPr>
          <w:rFonts w:ascii="仿宋_GB2312" w:hAnsi="仿宋_GB2312" w:eastAsia="仿宋_GB2312"/>
          <w:b w:val="0"/>
          <w:sz w:val="32"/>
        </w:rPr>
        <w:t>按照支出功能分类，教育支出（类）职业教育（款）高等职业教育（项）的支出占本年财政拨款支出总额的比重最高，2025年度决算数为10,690.56万元，占比93.85%，主要用于教职工薪酬、教学设施与资源、日常运营维护、学生活动及奖学金、科研项目、校园建设。</w:t>
      </w:r>
    </w:p>
    <w:p w14:paraId="4B38F884">
      <w:pPr>
        <w:spacing w:line="640" w:lineRule="exact"/>
        <w:ind w:firstLine="640"/>
        <w:jc w:val="both"/>
        <w:outlineLvl w:val="3"/>
      </w:pPr>
      <w:r>
        <w:rPr>
          <w:rFonts w:ascii="楷体_GB2312" w:hAnsi="楷体_GB2312" w:eastAsia="楷体_GB2312"/>
          <w:b/>
          <w:sz w:val="32"/>
        </w:rPr>
        <w:t>（一）一般公共预算财政拨款支出决算总体情况</w:t>
      </w:r>
    </w:p>
    <w:p w14:paraId="329AB60A">
      <w:pPr>
        <w:spacing w:line="580" w:lineRule="exact"/>
        <w:ind w:firstLine="640"/>
        <w:jc w:val="both"/>
      </w:pPr>
      <w:r>
        <w:rPr>
          <w:rFonts w:ascii="仿宋_GB2312" w:hAnsi="仿宋_GB2312" w:eastAsia="仿宋_GB2312"/>
          <w:b/>
          <w:sz w:val="32"/>
        </w:rPr>
        <w:t>2025年度一般公共预算财政拨款支出11,391.47万元，</w:t>
      </w:r>
      <w:r>
        <w:rPr>
          <w:rFonts w:ascii="仿宋_GB2312" w:hAnsi="仿宋_GB2312" w:eastAsia="仿宋_GB2312"/>
          <w:b w:val="0"/>
          <w:sz w:val="32"/>
        </w:rPr>
        <w:t>占本年支出合计的77.59%。</w:t>
      </w:r>
      <w:r>
        <w:rPr>
          <w:rFonts w:ascii="仿宋_GB2312" w:hAnsi="仿宋_GB2312" w:eastAsia="仿宋_GB2312"/>
          <w:b/>
          <w:sz w:val="32"/>
        </w:rPr>
        <w:t>与上年相比，</w:t>
      </w:r>
      <w:r>
        <w:rPr>
          <w:rFonts w:ascii="仿宋_GB2312" w:hAnsi="仿宋_GB2312" w:eastAsia="仿宋_GB2312"/>
          <w:b w:val="0"/>
          <w:sz w:val="32"/>
        </w:rPr>
        <w:t>减少3,160.63万元，下降21.72%，主要原因是：自治区本级高校生均拨款较上年减少、2024年学院中央教育质量提升学生宿舍楼房建</w:t>
      </w:r>
      <w:r>
        <w:rPr>
          <w:rFonts w:hint="eastAsia" w:ascii="仿宋_GB2312" w:hAnsi="仿宋_GB2312" w:eastAsia="仿宋_GB2312"/>
          <w:b w:val="0"/>
          <w:sz w:val="32"/>
          <w:lang w:eastAsia="zh-CN"/>
        </w:rPr>
        <w:t>项目于2025年</w:t>
      </w:r>
      <w:r>
        <w:rPr>
          <w:rFonts w:ascii="仿宋_GB2312" w:hAnsi="仿宋_GB2312" w:eastAsia="仿宋_GB2312"/>
          <w:b w:val="0"/>
          <w:sz w:val="32"/>
        </w:rPr>
        <w:t>该项目已完工</w:t>
      </w:r>
      <w:r>
        <w:rPr>
          <w:rFonts w:hint="eastAsia" w:ascii="仿宋_GB2312" w:hAnsi="仿宋_GB2312" w:eastAsia="仿宋_GB2312"/>
          <w:b w:val="0"/>
          <w:sz w:val="32"/>
          <w:lang w:eastAsia="zh-CN"/>
        </w:rPr>
        <w:t>，</w:t>
      </w:r>
      <w:r>
        <w:rPr>
          <w:rFonts w:ascii="仿宋_GB2312" w:hAnsi="仿宋_GB2312" w:eastAsia="仿宋_GB2312"/>
          <w:b w:val="0"/>
          <w:sz w:val="32"/>
        </w:rPr>
        <w:t>项目支出较上年减少；同时学院响应中央号召，厉行勤俭节约、反对铺张浪费，严禁花钱大手大脚、寅吃卯粮，优先保障维持学院必要运转的经费</w:t>
      </w:r>
      <w:r>
        <w:rPr>
          <w:rFonts w:hint="eastAsia" w:ascii="仿宋_GB2312" w:hAnsi="仿宋_GB2312" w:eastAsia="仿宋_GB2312"/>
          <w:b w:val="0"/>
          <w:sz w:val="32"/>
          <w:lang w:eastAsia="zh-CN"/>
        </w:rPr>
        <w:t>，</w:t>
      </w:r>
      <w:r>
        <w:rPr>
          <w:rFonts w:ascii="仿宋_GB2312" w:hAnsi="仿宋_GB2312" w:eastAsia="仿宋_GB2312"/>
          <w:b w:val="0"/>
          <w:sz w:val="32"/>
        </w:rPr>
        <w:t>故学院今年整体支出较去年有所下降。</w:t>
      </w:r>
      <w:r>
        <w:rPr>
          <w:rFonts w:ascii="仿宋_GB2312" w:hAnsi="仿宋_GB2312" w:eastAsia="仿宋_GB2312"/>
          <w:b/>
          <w:sz w:val="32"/>
        </w:rPr>
        <w:t>与年初预算相比，</w:t>
      </w:r>
      <w:r>
        <w:rPr>
          <w:rFonts w:ascii="仿宋_GB2312" w:hAnsi="仿宋_GB2312" w:eastAsia="仿宋_GB2312"/>
          <w:b w:val="0"/>
          <w:sz w:val="32"/>
        </w:rPr>
        <w:t>年初预算数11,472.63万元，决算数11,391.47万元，预决算差异率-0.71%，主要原因是：年中根据实际情况，调减学生奖助学金、三免项目资金、天山英才培养计划、自治区高校银龄教师补助、驻村工作经费、驻村工作队员南疆工作补贴等项目资金及在职、退休及离休基础绩效、在职离休艰边贴等人员经费，故存在预决算差异。</w:t>
      </w:r>
    </w:p>
    <w:p w14:paraId="4A00BEE7">
      <w:pPr>
        <w:spacing w:line="640" w:lineRule="exact"/>
        <w:ind w:firstLine="640"/>
        <w:jc w:val="both"/>
        <w:outlineLvl w:val="3"/>
      </w:pPr>
      <w:r>
        <w:rPr>
          <w:rFonts w:ascii="楷体_GB2312" w:hAnsi="楷体_GB2312" w:eastAsia="楷体_GB2312"/>
          <w:b/>
          <w:sz w:val="32"/>
        </w:rPr>
        <w:t>（二）一般公共预算财政拨款支出决算结构情况</w:t>
      </w:r>
    </w:p>
    <w:p w14:paraId="3D571592">
      <w:pPr>
        <w:spacing w:line="580" w:lineRule="exact"/>
        <w:ind w:firstLine="640"/>
        <w:jc w:val="both"/>
      </w:pPr>
      <w:r>
        <w:rPr>
          <w:rFonts w:ascii="仿宋_GB2312" w:hAnsi="仿宋_GB2312" w:eastAsia="仿宋_GB2312"/>
          <w:b w:val="0"/>
          <w:sz w:val="32"/>
        </w:rPr>
        <w:t>1.教育支出（类）11,002.81万元，占96.59%。</w:t>
      </w:r>
    </w:p>
    <w:p w14:paraId="59182D3B">
      <w:pPr>
        <w:spacing w:line="580" w:lineRule="exact"/>
        <w:ind w:firstLine="640"/>
        <w:jc w:val="both"/>
      </w:pPr>
      <w:r>
        <w:rPr>
          <w:rFonts w:ascii="仿宋_GB2312" w:hAnsi="仿宋_GB2312" w:eastAsia="仿宋_GB2312"/>
          <w:b w:val="0"/>
          <w:sz w:val="32"/>
        </w:rPr>
        <w:t>2.社会保障和就业支出（类）5.50万元，占0.05%。</w:t>
      </w:r>
    </w:p>
    <w:p w14:paraId="185A335E">
      <w:pPr>
        <w:spacing w:line="580" w:lineRule="exact"/>
        <w:ind w:firstLine="640"/>
        <w:jc w:val="both"/>
      </w:pPr>
      <w:r>
        <w:rPr>
          <w:rFonts w:ascii="仿宋_GB2312" w:hAnsi="仿宋_GB2312" w:eastAsia="仿宋_GB2312"/>
          <w:b w:val="0"/>
          <w:sz w:val="32"/>
        </w:rPr>
        <w:t>3.节能环保支出（类）383.15万元，占3.36%。</w:t>
      </w:r>
    </w:p>
    <w:p w14:paraId="15C14EF4">
      <w:pPr>
        <w:spacing w:line="640" w:lineRule="exact"/>
        <w:ind w:firstLine="640"/>
        <w:jc w:val="both"/>
        <w:outlineLvl w:val="3"/>
      </w:pPr>
      <w:r>
        <w:rPr>
          <w:rFonts w:ascii="楷体_GB2312" w:hAnsi="楷体_GB2312" w:eastAsia="楷体_GB2312"/>
          <w:b/>
          <w:sz w:val="32"/>
        </w:rPr>
        <w:t>（三）一般公共预算财政拨款支出决算具体情况</w:t>
      </w:r>
    </w:p>
    <w:p w14:paraId="30CA8BB9">
      <w:pPr>
        <w:spacing w:line="580" w:lineRule="exact"/>
        <w:ind w:firstLine="640"/>
        <w:jc w:val="both"/>
      </w:pPr>
      <w:r>
        <w:rPr>
          <w:rFonts w:ascii="仿宋_GB2312" w:hAnsi="仿宋_GB2312" w:eastAsia="仿宋_GB2312"/>
          <w:b w:val="0"/>
          <w:sz w:val="32"/>
        </w:rPr>
        <w:t>1.教育支出（类）职业教育（款）中等职业教育（项）：支出决算数为149.21万元，比上年决算减少1.15万元，下降0.76%，主要原因是：中职学生人数较上年减少，故中职三免一补资金相应减少。</w:t>
      </w:r>
    </w:p>
    <w:p w14:paraId="78B1ED57">
      <w:pPr>
        <w:spacing w:line="580" w:lineRule="exact"/>
        <w:ind w:firstLine="640"/>
        <w:jc w:val="both"/>
      </w:pPr>
      <w:r>
        <w:rPr>
          <w:rFonts w:ascii="仿宋_GB2312" w:hAnsi="仿宋_GB2312" w:eastAsia="仿宋_GB2312"/>
          <w:b w:val="0"/>
          <w:sz w:val="32"/>
        </w:rPr>
        <w:t>2.教育支出（类）职业教育（款）技校教育（项）：支出决算数为163.04万元，比上年决算增加6.77万元，增长4.33%，主要原因是：追加学生奖助学金，技工三免一补资金较2024年有所增长。</w:t>
      </w:r>
    </w:p>
    <w:p w14:paraId="1AF06E4F">
      <w:pPr>
        <w:spacing w:line="580" w:lineRule="exact"/>
        <w:ind w:firstLine="640"/>
        <w:jc w:val="both"/>
      </w:pPr>
      <w:r>
        <w:rPr>
          <w:rFonts w:ascii="仿宋_GB2312" w:hAnsi="仿宋_GB2312" w:eastAsia="仿宋_GB2312"/>
          <w:b w:val="0"/>
          <w:sz w:val="32"/>
        </w:rPr>
        <w:t>3.教育支出（类）职业教育（款）高等职业教育（项）：支出决算数为10,690.56万元，比上年决算减少3,532.16万元，下降24.83%，主要原因是：自治区本级高校生均拨款较上年减少、2024年学院中央教育质量提升学生宿舍楼房建</w:t>
      </w:r>
      <w:r>
        <w:rPr>
          <w:rFonts w:hint="eastAsia" w:ascii="仿宋_GB2312" w:hAnsi="仿宋_GB2312" w:eastAsia="仿宋_GB2312"/>
          <w:b w:val="0"/>
          <w:sz w:val="32"/>
          <w:lang w:eastAsia="zh-CN"/>
        </w:rPr>
        <w:t>项目于2025年</w:t>
      </w:r>
      <w:r>
        <w:rPr>
          <w:rFonts w:ascii="仿宋_GB2312" w:hAnsi="仿宋_GB2312" w:eastAsia="仿宋_GB2312"/>
          <w:b w:val="0"/>
          <w:sz w:val="32"/>
        </w:rPr>
        <w:t>该项目已完工</w:t>
      </w:r>
      <w:r>
        <w:rPr>
          <w:rFonts w:hint="eastAsia" w:ascii="仿宋_GB2312" w:hAnsi="仿宋_GB2312" w:eastAsia="仿宋_GB2312"/>
          <w:b w:val="0"/>
          <w:sz w:val="32"/>
          <w:lang w:eastAsia="zh-CN"/>
        </w:rPr>
        <w:t>，</w:t>
      </w:r>
      <w:r>
        <w:rPr>
          <w:rFonts w:ascii="仿宋_GB2312" w:hAnsi="仿宋_GB2312" w:eastAsia="仿宋_GB2312"/>
          <w:b w:val="0"/>
          <w:sz w:val="32"/>
        </w:rPr>
        <w:t>项目支出较上年减少；同时学院响应中央号召，厉行勤俭节约、反对铺张浪费，严禁花钱大手大脚、寅吃卯粮，优先保障维持学院必要运转的经费，故学院今年整体支出较去年有所下降。</w:t>
      </w:r>
    </w:p>
    <w:p w14:paraId="746A1A06">
      <w:pPr>
        <w:spacing w:line="580" w:lineRule="exact"/>
        <w:ind w:firstLine="640"/>
        <w:jc w:val="both"/>
      </w:pPr>
      <w:r>
        <w:rPr>
          <w:rFonts w:ascii="仿宋_GB2312" w:hAnsi="仿宋_GB2312" w:eastAsia="仿宋_GB2312"/>
          <w:b w:val="0"/>
          <w:sz w:val="32"/>
        </w:rPr>
        <w:t>4.社会保障和就业支出（类）人力资源和社会保障管理事务（款）就业管理事务（项）：支出决算数为0.00万元，比上年决算减少20.00万元，下降100.00%，主要原因是：本年科目调整，第二批“天山英才”培养计划“新疆工匠”专项资金从社会保障和就业支出（类）人力资源和社会保障管理事务（款）就业管理事务（项）科目调整至社会保障和就业支出（类）人力资源和社会保障管理事务（款）其他人力资源和社会保障管理事务支出（项）科目列支，导致经费减少。</w:t>
      </w:r>
    </w:p>
    <w:p w14:paraId="6F63EB8C">
      <w:pPr>
        <w:spacing w:line="580" w:lineRule="exact"/>
        <w:ind w:firstLine="640"/>
        <w:jc w:val="both"/>
      </w:pPr>
      <w:r>
        <w:rPr>
          <w:rFonts w:ascii="仿宋_GB2312" w:hAnsi="仿宋_GB2312" w:eastAsia="仿宋_GB2312"/>
          <w:b w:val="0"/>
          <w:sz w:val="32"/>
        </w:rPr>
        <w:t>5.社会保障和就业支出（类）人力资源和社会保障管理事务（款）其他人力资源和社会保障管理事务支出（项）：支出决算数为5.50万元，比上年决算增加5.50万元，增长100.00%，主要原因是：本年科目调整，第二批“天山英才”培养计划“新疆工匠”专项资金从社会保障和就业支出（类）人力资源和社会保障管理事务（款）就业管理事务（项）科目调整至社会保障和就业支出（类）人力资源和社会保障管理事务（款）其他人力资源和社会保障管理事务支出（项）科目列支，导致经费增加。</w:t>
      </w:r>
    </w:p>
    <w:p w14:paraId="33C74C19">
      <w:pPr>
        <w:spacing w:line="580" w:lineRule="exact"/>
        <w:ind w:firstLine="640"/>
        <w:jc w:val="both"/>
      </w:pPr>
      <w:r>
        <w:rPr>
          <w:rFonts w:ascii="仿宋_GB2312" w:hAnsi="仿宋_GB2312" w:eastAsia="仿宋_GB2312"/>
          <w:b w:val="0"/>
          <w:sz w:val="32"/>
        </w:rPr>
        <w:t>6.节能环保支出（类）能源节约利用（款）能源节约利用（项）：支出决算数为383.15万元，比上年决算增加380.41万元，增长13,883.58%，主要原因是：本年度增加自治区全社会节能专项资金用于学院建工校区宿舍楼建设项目。</w:t>
      </w:r>
    </w:p>
    <w:p w14:paraId="31DD6644">
      <w:pPr>
        <w:spacing w:line="640" w:lineRule="exact"/>
        <w:ind w:firstLine="640"/>
        <w:jc w:val="both"/>
        <w:outlineLvl w:val="2"/>
      </w:pPr>
      <w:r>
        <w:rPr>
          <w:rFonts w:ascii="黑体" w:hAnsi="黑体" w:eastAsia="黑体"/>
          <w:sz w:val="32"/>
        </w:rPr>
        <w:t>六、一般公共预算财政拨款基本支出决算情况说明</w:t>
      </w:r>
    </w:p>
    <w:p w14:paraId="1FDFB734">
      <w:pPr>
        <w:spacing w:line="580" w:lineRule="exact"/>
        <w:ind w:firstLine="640"/>
        <w:jc w:val="both"/>
      </w:pPr>
      <w:r>
        <w:rPr>
          <w:rFonts w:ascii="仿宋_GB2312" w:hAnsi="仿宋_GB2312" w:eastAsia="仿宋_GB2312"/>
          <w:b w:val="0"/>
          <w:sz w:val="32"/>
        </w:rPr>
        <w:t>2025年度一般公共预算财政拨款基本支出8,297.26万元，其中：</w:t>
      </w:r>
      <w:r>
        <w:rPr>
          <w:rFonts w:ascii="仿宋_GB2312" w:hAnsi="仿宋_GB2312" w:eastAsia="仿宋_GB2312"/>
          <w:b/>
          <w:sz w:val="32"/>
        </w:rPr>
        <w:t>人员经费8,255.76万元，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离休费、退休费、抚恤金、生活补助、救济费、其他对个人和家庭的补助。</w:t>
      </w:r>
    </w:p>
    <w:p w14:paraId="3774163C">
      <w:pPr>
        <w:spacing w:line="580" w:lineRule="exact"/>
        <w:ind w:firstLine="640"/>
        <w:jc w:val="both"/>
      </w:pPr>
      <w:r>
        <w:rPr>
          <w:rFonts w:ascii="仿宋_GB2312" w:hAnsi="仿宋_GB2312" w:eastAsia="仿宋_GB2312"/>
          <w:b/>
          <w:sz w:val="32"/>
        </w:rPr>
        <w:t>公用经费41.50万元，</w:t>
      </w:r>
      <w:r>
        <w:rPr>
          <w:rFonts w:ascii="仿宋_GB2312" w:hAnsi="仿宋_GB2312" w:eastAsia="仿宋_GB2312"/>
          <w:b w:val="0"/>
          <w:sz w:val="32"/>
        </w:rPr>
        <w:t>包括：办公费、劳务费、委托业务费、其他商品和服务支出。</w:t>
      </w:r>
    </w:p>
    <w:p w14:paraId="25D033E4">
      <w:pPr>
        <w:spacing w:line="640" w:lineRule="exact"/>
        <w:ind w:firstLine="640"/>
        <w:jc w:val="both"/>
        <w:outlineLvl w:val="2"/>
      </w:pPr>
      <w:r>
        <w:rPr>
          <w:rFonts w:ascii="黑体" w:hAnsi="黑体" w:eastAsia="黑体"/>
          <w:sz w:val="32"/>
        </w:rPr>
        <w:t>七、政府性基金预算财政拨款收入支出决算情况说明</w:t>
      </w:r>
    </w:p>
    <w:p w14:paraId="058D835C">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4A38C0D1">
      <w:pPr>
        <w:spacing w:line="640" w:lineRule="exact"/>
        <w:ind w:firstLine="640"/>
        <w:jc w:val="both"/>
        <w:outlineLvl w:val="2"/>
      </w:pPr>
      <w:r>
        <w:rPr>
          <w:rFonts w:ascii="黑体" w:hAnsi="黑体" w:eastAsia="黑体"/>
          <w:sz w:val="32"/>
        </w:rPr>
        <w:t>八、国有资本经营预算财政拨款收入支出决算情况说明</w:t>
      </w:r>
    </w:p>
    <w:p w14:paraId="5D517608">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1AAD8C4">
      <w:pPr>
        <w:spacing w:line="640" w:lineRule="exact"/>
        <w:ind w:firstLine="640"/>
        <w:jc w:val="both"/>
        <w:outlineLvl w:val="2"/>
      </w:pPr>
      <w:r>
        <w:rPr>
          <w:rFonts w:ascii="黑体" w:hAnsi="黑体" w:eastAsia="黑体"/>
          <w:sz w:val="32"/>
        </w:rPr>
        <w:t>九、财政拨款“三公”经费支出决算情况说明</w:t>
      </w:r>
    </w:p>
    <w:p w14:paraId="797D56DE">
      <w:pPr>
        <w:spacing w:line="580" w:lineRule="exact"/>
        <w:ind w:firstLine="640"/>
        <w:jc w:val="both"/>
      </w:pPr>
      <w:r>
        <w:rPr>
          <w:rFonts w:ascii="仿宋_GB2312" w:hAnsi="仿宋_GB2312" w:eastAsia="仿宋_GB2312"/>
          <w:b/>
          <w:sz w:val="32"/>
        </w:rPr>
        <w:t>2025年度财政拨款“三公”经费支出0.00万元，</w:t>
      </w:r>
      <w:r>
        <w:rPr>
          <w:rFonts w:ascii="仿宋_GB2312" w:hAnsi="仿宋_GB2312" w:eastAsia="仿宋_GB2312"/>
          <w:b w:val="0"/>
          <w:sz w:val="32"/>
        </w:rPr>
        <w:t>比上年增加0.00万元，增长0.00%，主要原因是：2024年与2025年均无财政拨款“三公”经费支出。其中：因公出国（境）费用支出0.00万元，占0.00%，比上年增加0.00万元，增长0.00%，主要原因是：2024年与2025年均无因公出国（境）费用支出。公务用车购置及运行维护费支出0.00万元，占0.00%，比上年增加0.00万元，增长0.00%，主要原因是：2024年与2025年均无公务用车购置及运行维护费支出。公务接待费支出0.00万元，占0.00%，比上年增加0.00万元，增长0.00%，主要原因是：2024年与2025年均无公务接待费支出。</w:t>
      </w:r>
    </w:p>
    <w:p w14:paraId="73917C36">
      <w:pPr>
        <w:spacing w:line="580" w:lineRule="exact"/>
        <w:ind w:firstLine="640"/>
        <w:jc w:val="both"/>
      </w:pPr>
      <w:r>
        <w:rPr>
          <w:rFonts w:ascii="仿宋_GB2312" w:hAnsi="仿宋_GB2312" w:eastAsia="仿宋_GB2312"/>
          <w:b/>
          <w:sz w:val="32"/>
        </w:rPr>
        <w:t>具体情况如下：</w:t>
      </w:r>
    </w:p>
    <w:p w14:paraId="7003200C">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14:paraId="40D90843">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8辆，与公务用车保有量差异原因是：差异车辆为单位业务用车，车辆费用未使用财政拨款公务用车运行维护费支付，由业务经费保障。</w:t>
      </w:r>
    </w:p>
    <w:p w14:paraId="775D0E3D">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71373195">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18960C8C">
      <w:pPr>
        <w:spacing w:line="640" w:lineRule="exact"/>
        <w:ind w:firstLine="640"/>
        <w:jc w:val="both"/>
        <w:outlineLvl w:val="2"/>
      </w:pPr>
      <w:r>
        <w:rPr>
          <w:rFonts w:ascii="黑体" w:hAnsi="黑体" w:eastAsia="黑体"/>
          <w:sz w:val="32"/>
        </w:rPr>
        <w:t>十、其他重要事项的情况说明</w:t>
      </w:r>
    </w:p>
    <w:p w14:paraId="432F6CB0">
      <w:pPr>
        <w:spacing w:line="640" w:lineRule="exact"/>
        <w:ind w:firstLine="640"/>
        <w:jc w:val="both"/>
        <w:outlineLvl w:val="3"/>
      </w:pPr>
      <w:r>
        <w:rPr>
          <w:rFonts w:ascii="楷体_GB2312" w:hAnsi="楷体_GB2312" w:eastAsia="楷体_GB2312"/>
          <w:b/>
          <w:sz w:val="32"/>
        </w:rPr>
        <w:t>（一）机关运行经费及公用经费支出情况</w:t>
      </w:r>
    </w:p>
    <w:p w14:paraId="3D8F786A">
      <w:pPr>
        <w:spacing w:line="580" w:lineRule="exact"/>
        <w:ind w:firstLine="640"/>
        <w:jc w:val="both"/>
      </w:pPr>
      <w:r>
        <w:rPr>
          <w:rFonts w:ascii="仿宋_GB2312" w:hAnsi="仿宋_GB2312" w:eastAsia="仿宋_GB2312"/>
          <w:b w:val="0"/>
          <w:sz w:val="32"/>
        </w:rPr>
        <w:t>2025年度新疆建设职业技术学院（事业单位）公用经费支出41.50万元，比上年增加41.50万元，增长100.00%，主要原因是：本年办公费、劳务费、委托业务费增加，导致公用经费增加。</w:t>
      </w:r>
    </w:p>
    <w:p w14:paraId="78540BCC">
      <w:pPr>
        <w:spacing w:line="640" w:lineRule="exact"/>
        <w:ind w:firstLine="640"/>
        <w:jc w:val="both"/>
        <w:outlineLvl w:val="3"/>
      </w:pPr>
      <w:r>
        <w:rPr>
          <w:rFonts w:ascii="楷体_GB2312" w:hAnsi="楷体_GB2312" w:eastAsia="楷体_GB2312"/>
          <w:b/>
          <w:sz w:val="32"/>
        </w:rPr>
        <w:t>（二）政府采购情况</w:t>
      </w:r>
    </w:p>
    <w:p w14:paraId="3EA8B95B">
      <w:pPr>
        <w:spacing w:line="580" w:lineRule="exact"/>
        <w:ind w:firstLine="640"/>
        <w:jc w:val="both"/>
      </w:pPr>
      <w:r>
        <w:rPr>
          <w:rFonts w:ascii="仿宋_GB2312" w:hAnsi="仿宋_GB2312" w:eastAsia="仿宋_GB2312"/>
          <w:b w:val="0"/>
          <w:sz w:val="32"/>
        </w:rPr>
        <w:t>2025年度政府采购支出总额996.84万元，其中：政府采购货物支出456.64万元、政府采购工程支出520.87万元、政府采购服务支出19.33万元。</w:t>
      </w:r>
    </w:p>
    <w:p w14:paraId="21172806">
      <w:pPr>
        <w:spacing w:line="580" w:lineRule="exact"/>
        <w:ind w:firstLine="640"/>
        <w:jc w:val="both"/>
      </w:pPr>
      <w:r>
        <w:rPr>
          <w:rFonts w:ascii="仿宋_GB2312" w:hAnsi="仿宋_GB2312" w:eastAsia="仿宋_GB2312"/>
          <w:b w:val="0"/>
          <w:sz w:val="32"/>
        </w:rPr>
        <w:t>授予中小企业合同金额975.99万元，占政府采购支出总额的97.91%，其中：授予小微企业合同金额896.71万元，占政府采购支出总额的89.96%。</w:t>
      </w:r>
    </w:p>
    <w:p w14:paraId="1D642174">
      <w:pPr>
        <w:spacing w:line="640" w:lineRule="exact"/>
        <w:ind w:firstLine="640"/>
        <w:jc w:val="both"/>
        <w:outlineLvl w:val="3"/>
      </w:pPr>
      <w:r>
        <w:rPr>
          <w:rFonts w:ascii="楷体_GB2312" w:hAnsi="楷体_GB2312" w:eastAsia="楷体_GB2312"/>
          <w:b/>
          <w:sz w:val="32"/>
        </w:rPr>
        <w:t>（三）国有资产占用情况说明</w:t>
      </w:r>
    </w:p>
    <w:p w14:paraId="24279C86">
      <w:pPr>
        <w:spacing w:line="580" w:lineRule="exact"/>
        <w:ind w:firstLine="640"/>
        <w:jc w:val="both"/>
      </w:pPr>
      <w:r>
        <w:rPr>
          <w:rFonts w:ascii="仿宋_GB2312" w:hAnsi="仿宋_GB2312" w:eastAsia="仿宋_GB2312"/>
          <w:b w:val="0"/>
          <w:sz w:val="32"/>
        </w:rPr>
        <w:t>截至2025年12月31日，房屋74,709.56平方米，价值2,635.40万元。车辆8辆，价值177.42万元，其中：副部（省）级及以上领导用车0辆、主要负责人用车0辆、机要通信用车0辆、应急保障用车0辆、执法执勤用车0辆、特种专业技术用车0辆、离退休干部服务用车0辆、其他用车8辆，其他用车主要是：单位业务用车。单价100万元（含）以上设备（不含车辆）1台（套）。</w:t>
      </w:r>
    </w:p>
    <w:p w14:paraId="33E971D0">
      <w:pPr>
        <w:spacing w:line="640" w:lineRule="exact"/>
        <w:ind w:firstLine="640"/>
        <w:jc w:val="both"/>
        <w:outlineLvl w:val="2"/>
      </w:pPr>
      <w:r>
        <w:rPr>
          <w:rFonts w:ascii="黑体" w:hAnsi="黑体" w:eastAsia="黑体"/>
          <w:sz w:val="32"/>
        </w:rPr>
        <w:t>十一、预算绩效的情况说明</w:t>
      </w:r>
    </w:p>
    <w:p w14:paraId="3A7F269E">
      <w:pPr>
        <w:spacing w:line="580" w:lineRule="exact"/>
        <w:ind w:firstLine="640"/>
        <w:jc w:val="both"/>
      </w:pPr>
      <w:r>
        <w:rPr>
          <w:rFonts w:ascii="仿宋_GB2312" w:hAnsi="仿宋_GB2312" w:eastAsia="仿宋_GB2312"/>
          <w:b w:val="0"/>
          <w:sz w:val="32"/>
        </w:rPr>
        <w:t>根据预算绩效管理要求，本单位预算绩效评价项目1个，全年预算数3,637.74万元，全年执行数1,025.94万元。预算绩效管理取得的成效：在资金紧张的情况下，学院坚持“保重点、保急需”原则，优先安排设备购置资金，根据各院系实际需求，集中采购教学仪器设备150套、软件3套，完成采购任务，有效满足了教学与科研的急需。项目执行过程中，严格执行财务管理制度，资金支付履行审批程序，确保每一笔支出合规、透明。设备采购、工程验收等环节均有据可查，为项目绩效评价提供了真实可靠的佐证资料。发现的问题及原因：第一、预算执行率偏低，项目推进受阻，学院非财拨项目整体资金执行率仅为28.20%，导致维修工程、食堂补助发放、教育教学活动经费支出等多项关键指标未完成年初目标。部分计划工作因资金不到位而停滞，影响项目整体效益发挥；第二、收入预测不准确，预算编制与实际脱节，学院在编制2025年度年初预算时，对学费、培训收入等非财政拨款的预测过于乐观，未充分考虑经济形势变化、招生波动等因素，导致收入未达预期，预算执行缺乏资金保障；第三、偿还财政历年结余资金，影响正常支出，学院2025年偿还历年财政专户资金，占用了本可用于非财拨项目支出的资金，预算收入未达预期，进一步加剧了资金紧张程度，影响了维修工程、食堂补助等工作的正常开展。下一步改进措施：第一、科学编制预算，强化风险评估，学院在编制年度预算时，将更加客观地预测非财政拨款收入，充分考虑历年财政专户结余未负、学生招生人数、培训市场变动等因素，合理设定绩效目标和资金支出计划，避免目标脱离实际。同时，建立预算执行风险预警机制，及时发现和应对收入波动。</w:t>
      </w:r>
      <w:r>
        <w:rPr>
          <w:rFonts w:hint="eastAsia" w:ascii="仿宋_GB2312" w:hAnsi="仿宋_GB2312" w:eastAsia="仿宋_GB2312"/>
          <w:b w:val="0"/>
          <w:sz w:val="32"/>
          <w:lang w:eastAsia="zh-CN"/>
        </w:rPr>
        <w:t>第二，</w:t>
      </w:r>
      <w:r>
        <w:rPr>
          <w:rFonts w:ascii="仿宋_GB2312" w:hAnsi="仿宋_GB2312" w:eastAsia="仿宋_GB2312"/>
          <w:b w:val="0"/>
          <w:sz w:val="32"/>
        </w:rPr>
        <w:t>拓宽收入渠道，增强资金保障，学院将积极拓展资金来源渠道，加强与行业企业合作，开展职业技能培训等项目，增强学院自身“造血”功能，降低对单一收入来源的依赖；第三、加强资金统筹，优先保障核心支出，</w:t>
      </w:r>
      <w:r>
        <w:rPr>
          <w:rFonts w:hint="eastAsia" w:ascii="仿宋_GB2312" w:hAnsi="仿宋_GB2312" w:eastAsia="仿宋_GB2312"/>
          <w:b w:val="0"/>
          <w:sz w:val="32"/>
          <w:lang w:eastAsia="zh-CN"/>
        </w:rPr>
        <w:t>学院</w:t>
      </w:r>
      <w:r>
        <w:rPr>
          <w:rFonts w:ascii="仿宋_GB2312" w:hAnsi="仿宋_GB2312" w:eastAsia="仿宋_GB2312"/>
          <w:b w:val="0"/>
          <w:sz w:val="32"/>
        </w:rPr>
        <w:t>将在资金紧张的情况下，优先保障教学运行、学生管理、校园安全等核心刚性支出。对维修工程等弹性支出，可根据资金到位情况分步实施，确保重点项目有序推进。学院主要职责任务是面向建设行业，开展高等、中等学历教育和职业培训，培养高、中级技术应用型和技能操作型人才。建议财政能够给予更多的倾斜和支持，加大扶持力度，确保维护教育公平，促进教育持续健康发展。具体附项目支出绩效自评表。</w:t>
      </w:r>
    </w:p>
    <w:p w14:paraId="64BED4FA">
      <w:r>
        <w:br w:type="page"/>
      </w:r>
    </w:p>
    <w:p w14:paraId="74C74EFE">
      <w:pPr>
        <w:sectPr>
          <w:footerReference r:id="rId3" w:type="default"/>
          <w:pgSz w:w="11906" w:h="16838"/>
          <w:pgMar w:top="2098" w:right="1531" w:bottom="1985" w:left="1531" w:header="851" w:footer="992" w:gutter="0"/>
          <w:cols w:space="720" w:num="1"/>
          <w:docGrid w:type="lines" w:linePitch="312" w:charSpace="0"/>
        </w:sectPr>
      </w:pP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4451C502">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23FA7E97">
            <w:pPr>
              <w:spacing w:before="0" w:after="0" w:line="240" w:lineRule="auto"/>
              <w:jc w:val="center"/>
            </w:pPr>
            <w:r>
              <w:rPr>
                <w:rFonts w:ascii="宋体" w:hAnsi="宋体" w:eastAsia="宋体"/>
                <w:b/>
                <w:i w:val="0"/>
                <w:sz w:val="32"/>
              </w:rPr>
              <w:t>项目支出绩效自评表</w:t>
            </w:r>
          </w:p>
        </w:tc>
      </w:tr>
      <w:tr w14:paraId="3028E782">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00E6C3F2">
            <w:pPr>
              <w:spacing w:before="0" w:after="0" w:line="240" w:lineRule="auto"/>
              <w:jc w:val="center"/>
            </w:pPr>
            <w:r>
              <w:rPr>
                <w:rFonts w:ascii="宋体" w:hAnsi="宋体" w:eastAsia="宋体"/>
                <w:b w:val="0"/>
                <w:i w:val="0"/>
                <w:sz w:val="22"/>
              </w:rPr>
              <w:t>(2025年度)</w:t>
            </w:r>
          </w:p>
        </w:tc>
      </w:tr>
      <w:tr w14:paraId="0F2ACA4A">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449793">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1F7787F0">
            <w:pPr>
              <w:spacing w:before="0" w:after="0" w:line="240" w:lineRule="auto"/>
              <w:jc w:val="center"/>
            </w:pPr>
            <w:r>
              <w:rPr>
                <w:rFonts w:ascii="宋体" w:hAnsi="宋体" w:eastAsia="宋体"/>
                <w:b w:val="0"/>
                <w:i w:val="0"/>
                <w:sz w:val="18"/>
              </w:rPr>
              <w:t>2025年部门预算非财政拨款项目</w:t>
            </w:r>
          </w:p>
        </w:tc>
      </w:tr>
      <w:tr w14:paraId="46863707">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E3F598">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8B8B3EB">
            <w:pPr>
              <w:spacing w:before="0" w:after="0" w:line="240" w:lineRule="auto"/>
              <w:jc w:val="center"/>
            </w:pPr>
            <w:r>
              <w:rPr>
                <w:rFonts w:ascii="宋体" w:hAnsi="宋体" w:eastAsia="宋体"/>
                <w:b w:val="0"/>
                <w:i w:val="0"/>
                <w:sz w:val="18"/>
              </w:rPr>
              <w:t>新疆维吾尔自治区教育厅</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F8F61F">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1450DC4">
            <w:pPr>
              <w:spacing w:before="0" w:after="0" w:line="240" w:lineRule="auto"/>
              <w:jc w:val="center"/>
            </w:pPr>
            <w:r>
              <w:rPr>
                <w:rFonts w:ascii="宋体" w:hAnsi="宋体" w:eastAsia="宋体"/>
                <w:b w:val="0"/>
                <w:i w:val="0"/>
                <w:sz w:val="18"/>
              </w:rPr>
              <w:t>新疆建设职业技术学院</w:t>
            </w:r>
          </w:p>
        </w:tc>
      </w:tr>
      <w:tr w14:paraId="05BA525B">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7D8389">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A0E8A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3F5AE2">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77BFA5">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D0CD7E">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101469">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D390EF">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4FCE2D">
            <w:pPr>
              <w:spacing w:before="0" w:after="0" w:line="240" w:lineRule="auto"/>
              <w:jc w:val="center"/>
            </w:pPr>
            <w:r>
              <w:rPr>
                <w:rFonts w:ascii="宋体" w:hAnsi="宋体" w:eastAsia="宋体"/>
                <w:b/>
                <w:i w:val="0"/>
                <w:sz w:val="18"/>
              </w:rPr>
              <w:t>得分</w:t>
            </w:r>
          </w:p>
        </w:tc>
      </w:tr>
      <w:tr w14:paraId="3C9044FE">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60E302E0"/>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6B9994">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E7A5BD">
            <w:pPr>
              <w:spacing w:before="0" w:after="0" w:line="240" w:lineRule="auto"/>
              <w:jc w:val="center"/>
            </w:pPr>
            <w:r>
              <w:rPr>
                <w:rFonts w:ascii="宋体" w:hAnsi="宋体" w:eastAsia="宋体"/>
                <w:b w:val="0"/>
                <w:i w:val="0"/>
                <w:sz w:val="18"/>
              </w:rPr>
              <w:t>3637.74</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81BD14">
            <w:pPr>
              <w:spacing w:before="0" w:after="0" w:line="240" w:lineRule="auto"/>
              <w:jc w:val="center"/>
            </w:pPr>
            <w:r>
              <w:rPr>
                <w:rFonts w:ascii="宋体" w:hAnsi="宋体" w:eastAsia="宋体"/>
                <w:b w:val="0"/>
                <w:i w:val="0"/>
                <w:sz w:val="18"/>
              </w:rPr>
              <w:t>3637.74</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AD6434">
            <w:pPr>
              <w:spacing w:before="0" w:after="0" w:line="240" w:lineRule="auto"/>
              <w:jc w:val="center"/>
            </w:pPr>
            <w:r>
              <w:rPr>
                <w:rFonts w:ascii="宋体" w:hAnsi="宋体" w:eastAsia="宋体"/>
                <w:b w:val="0"/>
                <w:i w:val="0"/>
                <w:sz w:val="18"/>
              </w:rPr>
              <w:t>1025.94</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F4D4AC">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77F51D">
            <w:pPr>
              <w:spacing w:before="0" w:after="0" w:line="240" w:lineRule="auto"/>
              <w:jc w:val="center"/>
            </w:pPr>
            <w:r>
              <w:rPr>
                <w:rFonts w:ascii="宋体" w:hAnsi="宋体" w:eastAsia="宋体"/>
                <w:b w:val="0"/>
                <w:i w:val="0"/>
                <w:sz w:val="18"/>
              </w:rPr>
              <w:t>28.20%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5FDC88">
            <w:pPr>
              <w:spacing w:before="0" w:after="0" w:line="240" w:lineRule="auto"/>
              <w:jc w:val="center"/>
            </w:pPr>
            <w:r>
              <w:rPr>
                <w:rFonts w:ascii="宋体" w:hAnsi="宋体" w:eastAsia="宋体"/>
                <w:b w:val="0"/>
                <w:i w:val="0"/>
                <w:sz w:val="18"/>
              </w:rPr>
              <w:t>0.00</w:t>
            </w:r>
          </w:p>
        </w:tc>
      </w:tr>
      <w:tr w14:paraId="53ED51D9">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6922B34D"/>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D9ACB8">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36CAFD">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FC3A57">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3E3288">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4E550F">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9EE653">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70F23E">
            <w:pPr>
              <w:spacing w:before="0" w:after="0" w:line="240" w:lineRule="auto"/>
              <w:jc w:val="center"/>
            </w:pPr>
            <w:r>
              <w:rPr>
                <w:rFonts w:ascii="宋体" w:hAnsi="宋体" w:eastAsia="宋体"/>
                <w:b w:val="0"/>
                <w:i w:val="0"/>
                <w:sz w:val="18"/>
              </w:rPr>
              <w:t>—</w:t>
            </w:r>
          </w:p>
        </w:tc>
      </w:tr>
      <w:tr w14:paraId="7B674064">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69DF457E"/>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861325">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214DB0">
            <w:pPr>
              <w:spacing w:before="0" w:after="0" w:line="240" w:lineRule="auto"/>
              <w:jc w:val="center"/>
            </w:pPr>
            <w:r>
              <w:rPr>
                <w:rFonts w:ascii="宋体" w:hAnsi="宋体" w:eastAsia="宋体"/>
                <w:b w:val="0"/>
                <w:i w:val="0"/>
                <w:sz w:val="18"/>
              </w:rPr>
              <w:t>3637.74</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A13038">
            <w:pPr>
              <w:spacing w:before="0" w:after="0" w:line="240" w:lineRule="auto"/>
              <w:jc w:val="center"/>
            </w:pPr>
            <w:r>
              <w:rPr>
                <w:rFonts w:ascii="宋体" w:hAnsi="宋体" w:eastAsia="宋体"/>
                <w:b w:val="0"/>
                <w:i w:val="0"/>
                <w:sz w:val="18"/>
              </w:rPr>
              <w:t>3637.74</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17D3A3">
            <w:pPr>
              <w:spacing w:before="0" w:after="0" w:line="240" w:lineRule="auto"/>
              <w:jc w:val="center"/>
            </w:pPr>
            <w:r>
              <w:rPr>
                <w:rFonts w:ascii="宋体" w:hAnsi="宋体" w:eastAsia="宋体"/>
                <w:b w:val="0"/>
                <w:i w:val="0"/>
                <w:sz w:val="18"/>
              </w:rPr>
              <w:t>1025.94</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C6ADE6">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6C5D0D">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BE2494">
            <w:pPr>
              <w:spacing w:before="0" w:after="0" w:line="240" w:lineRule="auto"/>
              <w:jc w:val="center"/>
            </w:pPr>
            <w:r>
              <w:rPr>
                <w:rFonts w:ascii="宋体" w:hAnsi="宋体" w:eastAsia="宋体"/>
                <w:b w:val="0"/>
                <w:i w:val="0"/>
                <w:sz w:val="18"/>
              </w:rPr>
              <w:t>—</w:t>
            </w:r>
          </w:p>
        </w:tc>
      </w:tr>
      <w:tr w14:paraId="4070AA98">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6F5B0E">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47D1D97">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12DD482">
            <w:pPr>
              <w:spacing w:before="0" w:after="0" w:line="240" w:lineRule="auto"/>
              <w:jc w:val="center"/>
            </w:pPr>
            <w:r>
              <w:rPr>
                <w:rFonts w:ascii="宋体" w:hAnsi="宋体" w:eastAsia="宋体"/>
                <w:b/>
                <w:i w:val="0"/>
                <w:sz w:val="18"/>
              </w:rPr>
              <w:t>实际完成情况</w:t>
            </w:r>
          </w:p>
        </w:tc>
      </w:tr>
      <w:tr w14:paraId="3143DDFC">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57267EB"/>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FA67C94">
            <w:pPr>
              <w:spacing w:before="0" w:after="0" w:line="240" w:lineRule="auto"/>
              <w:jc w:val="center"/>
            </w:pPr>
            <w:r>
              <w:rPr>
                <w:rFonts w:ascii="宋体" w:hAnsi="宋体" w:eastAsia="宋体"/>
                <w:b w:val="0"/>
                <w:i w:val="0"/>
                <w:sz w:val="18"/>
              </w:rPr>
              <w:t>紧密结合社会经济发展形势，始终服务新疆建设行业，积极改善办学条件，对教学楼及学生宿舍进行维修改造，购置办公设备，满足教学需要，改善办公环境。保障食堂正常运营，提高饭菜质量，确保饭菜质量不降、价格不涨、数量不少、品种不减。开展学生思想政治教育及心理健康教育，开展各类课外教学活动。全面推进教育教学改革，提高教育教学质量。</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4B64F6">
            <w:pPr>
              <w:spacing w:before="0" w:after="0" w:line="240" w:lineRule="auto"/>
              <w:jc w:val="center"/>
            </w:pPr>
            <w:r>
              <w:rPr>
                <w:rFonts w:ascii="宋体" w:hAnsi="宋体" w:eastAsia="宋体"/>
                <w:b w:val="0"/>
                <w:i w:val="0"/>
                <w:sz w:val="18"/>
              </w:rPr>
              <w:t>在实际执行过程中，受预算收入未达预期及偿还历年财政专户资金的影响，在办公设备购置方面，我们根据各院系的实际需求，采购了设备，确保师生都能拥有高效便捷的工作学习环境，满足了日益增长的教学与科研需求，在保障师生基本生活与教学秩序的同时，我们高度关注资金使用的合规性与效率。后勤保障方面，我们通过优化内部管理等方式，努力保持饭菜质量稳定，确保“质量不降、价格不涨、数量不少、品种不减”。在学生全面发展方面，我们深入开展了思想政治教育及心理健康教育等活动，以及各二级学院学生活动经费，通过组织专题讲座、心理咨询、团队建设等多种形式，有效提升了学生的思想道德素质与心理健康水平。</w:t>
            </w:r>
          </w:p>
        </w:tc>
      </w:tr>
      <w:tr w14:paraId="19B4B0C0">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8E68ED">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6A4487">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681539">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07F70A">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21CE24">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7806F7">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B29730">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92BE6A">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5535BF">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BB3487">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7B4D5F">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CF22EF">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0B9168">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14A2D5">
            <w:pPr>
              <w:spacing w:before="0" w:after="0" w:line="240" w:lineRule="auto"/>
              <w:jc w:val="center"/>
            </w:pPr>
            <w:r>
              <w:rPr>
                <w:rFonts w:ascii="宋体" w:hAnsi="宋体" w:eastAsia="宋体"/>
                <w:b/>
                <w:i w:val="0"/>
                <w:sz w:val="18"/>
              </w:rPr>
              <w:t>偏差原因分析及改进措施</w:t>
            </w:r>
          </w:p>
        </w:tc>
      </w:tr>
      <w:tr w14:paraId="0D0F5FD1">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812BCE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6C16BA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8860E6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1648C3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6565FF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4C9230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741BF2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C814E5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8B7040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EF8BBB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322EE8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AB37EA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F86D68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98A7804"/>
        </w:tc>
      </w:tr>
      <w:tr w14:paraId="4CF669DE">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C7DEC7">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38320D">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8ED624">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253457">
            <w:pPr>
              <w:spacing w:before="0" w:after="0" w:line="240" w:lineRule="auto"/>
              <w:jc w:val="center"/>
            </w:pPr>
            <w:r>
              <w:rPr>
                <w:rFonts w:ascii="宋体" w:hAnsi="宋体" w:eastAsia="宋体"/>
                <w:b w:val="0"/>
                <w:i w:val="0"/>
                <w:sz w:val="18"/>
              </w:rPr>
              <w:t>劳务费支付人数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4A39EB">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869FE3">
            <w:pPr>
              <w:spacing w:before="0" w:after="0" w:line="240" w:lineRule="auto"/>
              <w:jc w:val="center"/>
            </w:pPr>
            <w:r>
              <w:rPr>
                <w:rFonts w:ascii="宋体" w:hAnsi="宋体" w:eastAsia="宋体"/>
                <w:b w:val="0"/>
                <w:i w:val="0"/>
                <w:sz w:val="18"/>
              </w:rPr>
              <w:t>&gt;=38人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9EE3EF">
            <w:pPr>
              <w:spacing w:before="0" w:after="0" w:line="240" w:lineRule="auto"/>
              <w:jc w:val="center"/>
            </w:pPr>
            <w:r>
              <w:rPr>
                <w:rFonts w:ascii="宋体" w:hAnsi="宋体" w:eastAsia="宋体"/>
                <w:b w:val="0"/>
                <w:i w:val="0"/>
                <w:sz w:val="18"/>
              </w:rPr>
              <w:t>=32人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FC34B7">
            <w:pPr>
              <w:spacing w:before="0" w:after="0" w:line="240" w:lineRule="auto"/>
              <w:jc w:val="center"/>
            </w:pPr>
            <w:r>
              <w:rPr>
                <w:rFonts w:ascii="宋体" w:hAnsi="宋体" w:eastAsia="宋体"/>
                <w:b w:val="0"/>
                <w:i w:val="0"/>
                <w:sz w:val="18"/>
              </w:rPr>
              <w:t>84.2%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655AA1">
            <w:pPr>
              <w:spacing w:before="0" w:after="0" w:line="240" w:lineRule="auto"/>
              <w:jc w:val="center"/>
            </w:pPr>
            <w:r>
              <w:rPr>
                <w:rFonts w:ascii="宋体" w:hAnsi="宋体" w:eastAsia="宋体"/>
                <w:b w:val="0"/>
                <w:i w:val="0"/>
                <w:sz w:val="18"/>
              </w:rPr>
              <w:t>3.03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751F3E">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7CD9CE">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6D5032">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2BA650">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6ABD39">
            <w:pPr>
              <w:spacing w:before="0" w:after="0" w:line="240" w:lineRule="auto"/>
              <w:jc w:val="center"/>
            </w:pPr>
            <w:r>
              <w:rPr>
                <w:rFonts w:ascii="宋体" w:hAnsi="宋体" w:eastAsia="宋体"/>
                <w:b w:val="0"/>
                <w:i w:val="0"/>
                <w:sz w:val="18"/>
              </w:rPr>
              <w:t>实际人数未达38人，且根据学院工作安排，直接对劳务公司进行支付。</w:t>
            </w:r>
          </w:p>
        </w:tc>
      </w:tr>
      <w:tr w14:paraId="08499B5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A01B94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1FFDFF3"/>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B732BD">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9B6E5C">
            <w:pPr>
              <w:spacing w:before="0" w:after="0" w:line="240" w:lineRule="auto"/>
              <w:jc w:val="center"/>
            </w:pPr>
            <w:r>
              <w:rPr>
                <w:rFonts w:ascii="宋体" w:hAnsi="宋体" w:eastAsia="宋体"/>
                <w:b w:val="0"/>
                <w:i w:val="0"/>
                <w:sz w:val="18"/>
              </w:rPr>
              <w:t>维修日常工程个数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1553BC">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79A9D6">
            <w:pPr>
              <w:spacing w:before="0" w:after="0" w:line="240" w:lineRule="auto"/>
              <w:jc w:val="center"/>
            </w:pPr>
            <w:r>
              <w:rPr>
                <w:rFonts w:ascii="宋体" w:hAnsi="宋体" w:eastAsia="宋体"/>
                <w:b w:val="0"/>
                <w:i w:val="0"/>
                <w:sz w:val="18"/>
              </w:rPr>
              <w:t>&gt;=3个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51E89C">
            <w:pPr>
              <w:spacing w:before="0" w:after="0" w:line="240" w:lineRule="auto"/>
              <w:jc w:val="center"/>
            </w:pPr>
            <w:r>
              <w:rPr>
                <w:rFonts w:ascii="宋体" w:hAnsi="宋体" w:eastAsia="宋体"/>
                <w:b w:val="0"/>
                <w:i w:val="0"/>
                <w:sz w:val="18"/>
              </w:rPr>
              <w:t>=1个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105191">
            <w:pPr>
              <w:spacing w:before="0" w:after="0" w:line="240" w:lineRule="auto"/>
              <w:jc w:val="center"/>
            </w:pPr>
            <w:r>
              <w:rPr>
                <w:rFonts w:ascii="宋体" w:hAnsi="宋体" w:eastAsia="宋体"/>
                <w:b w:val="0"/>
                <w:i w:val="0"/>
                <w:sz w:val="18"/>
              </w:rPr>
              <w:t>33.33%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10DBC5">
            <w:pPr>
              <w:spacing w:before="0" w:after="0" w:line="240" w:lineRule="auto"/>
              <w:jc w:val="center"/>
            </w:pPr>
            <w:r>
              <w:rPr>
                <w:rFonts w:ascii="宋体" w:hAnsi="宋体" w:eastAsia="宋体"/>
                <w:b w:val="0"/>
                <w:i w:val="0"/>
                <w:sz w:val="18"/>
              </w:rPr>
              <w:t>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2972C3">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A1BE57">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4E5386">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5FA5B0">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17FC5F">
            <w:pPr>
              <w:spacing w:before="0" w:after="0" w:line="240" w:lineRule="auto"/>
              <w:jc w:val="center"/>
            </w:pPr>
            <w:r>
              <w:rPr>
                <w:rFonts w:ascii="宋体" w:hAnsi="宋体" w:eastAsia="宋体"/>
                <w:b w:val="0"/>
                <w:i w:val="0"/>
                <w:sz w:val="18"/>
              </w:rPr>
              <w:t>学院预算外收入未达预期，且受历年财政专户资金还款影响，支付未达预期。</w:t>
            </w:r>
          </w:p>
        </w:tc>
      </w:tr>
      <w:tr w14:paraId="1450C4B7">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A9CD95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5275F33"/>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0E1760">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56314F">
            <w:pPr>
              <w:spacing w:before="0" w:after="0" w:line="240" w:lineRule="auto"/>
              <w:jc w:val="center"/>
            </w:pPr>
            <w:r>
              <w:rPr>
                <w:rFonts w:ascii="宋体" w:hAnsi="宋体" w:eastAsia="宋体"/>
                <w:b w:val="0"/>
                <w:i w:val="0"/>
                <w:sz w:val="18"/>
              </w:rPr>
              <w:t>学校食堂补助发放次数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BB26CD">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559CFA">
            <w:pPr>
              <w:spacing w:before="0" w:after="0" w:line="240" w:lineRule="auto"/>
              <w:jc w:val="center"/>
            </w:pPr>
            <w:r>
              <w:rPr>
                <w:rFonts w:ascii="宋体" w:hAnsi="宋体" w:eastAsia="宋体"/>
                <w:b w:val="0"/>
                <w:i w:val="0"/>
                <w:sz w:val="18"/>
              </w:rPr>
              <w:t>&gt;=6次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C994B1">
            <w:pPr>
              <w:spacing w:before="0" w:after="0" w:line="240" w:lineRule="auto"/>
              <w:jc w:val="center"/>
            </w:pPr>
            <w:r>
              <w:rPr>
                <w:rFonts w:ascii="宋体" w:hAnsi="宋体" w:eastAsia="宋体"/>
                <w:b w:val="0"/>
                <w:i w:val="0"/>
                <w:sz w:val="18"/>
              </w:rPr>
              <w:t>=0次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5DE648">
            <w:pPr>
              <w:spacing w:before="0" w:after="0" w:line="240" w:lineRule="auto"/>
              <w:jc w:val="center"/>
            </w:pPr>
            <w:r>
              <w:rPr>
                <w:rFonts w:ascii="宋体" w:hAnsi="宋体" w:eastAsia="宋体"/>
                <w:b w:val="0"/>
                <w:i w:val="0"/>
                <w:sz w:val="18"/>
              </w:rPr>
              <w:t>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9F2F2C">
            <w:pPr>
              <w:spacing w:before="0" w:after="0" w:line="240" w:lineRule="auto"/>
              <w:jc w:val="center"/>
            </w:pPr>
            <w:r>
              <w:rPr>
                <w:rFonts w:ascii="宋体" w:hAnsi="宋体" w:eastAsia="宋体"/>
                <w:b w:val="0"/>
                <w:i w:val="0"/>
                <w:sz w:val="18"/>
              </w:rPr>
              <w:t>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DD2D83">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4D0B7F">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999B71">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512BA8">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5A1720">
            <w:pPr>
              <w:spacing w:before="0" w:after="0" w:line="240" w:lineRule="auto"/>
              <w:jc w:val="center"/>
            </w:pPr>
            <w:r>
              <w:rPr>
                <w:rFonts w:ascii="宋体" w:hAnsi="宋体" w:eastAsia="宋体"/>
                <w:b w:val="0"/>
                <w:i w:val="0"/>
                <w:sz w:val="18"/>
              </w:rPr>
              <w:t>学院财政专户资金紧张，未进行支付。</w:t>
            </w:r>
          </w:p>
        </w:tc>
      </w:tr>
      <w:tr w14:paraId="5481AD6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E8AB33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931C852"/>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76C8A5">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51E01C">
            <w:pPr>
              <w:spacing w:before="0" w:after="0" w:line="240" w:lineRule="auto"/>
              <w:jc w:val="center"/>
            </w:pPr>
            <w:r>
              <w:rPr>
                <w:rFonts w:ascii="宋体" w:hAnsi="宋体" w:eastAsia="宋体"/>
                <w:b w:val="0"/>
                <w:i w:val="0"/>
                <w:sz w:val="18"/>
              </w:rPr>
              <w:t>食堂就餐人数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061A33">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64096E">
            <w:pPr>
              <w:spacing w:before="0" w:after="0" w:line="240" w:lineRule="auto"/>
              <w:jc w:val="center"/>
            </w:pPr>
            <w:r>
              <w:rPr>
                <w:rFonts w:ascii="宋体" w:hAnsi="宋体" w:eastAsia="宋体"/>
                <w:b w:val="0"/>
                <w:i w:val="0"/>
                <w:sz w:val="18"/>
              </w:rPr>
              <w:t>&gt;=400人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2BF237">
            <w:pPr>
              <w:spacing w:before="0" w:after="0" w:line="240" w:lineRule="auto"/>
              <w:jc w:val="center"/>
            </w:pPr>
            <w:r>
              <w:rPr>
                <w:rFonts w:ascii="宋体" w:hAnsi="宋体" w:eastAsia="宋体"/>
                <w:b w:val="0"/>
                <w:i w:val="0"/>
                <w:sz w:val="18"/>
              </w:rPr>
              <w:t>=1109人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2DED3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7EE60D">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FDCE2A">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48E983">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DA38FA">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96EA79">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AF9FD6">
            <w:pPr>
              <w:spacing w:before="0" w:after="0" w:line="240" w:lineRule="auto"/>
              <w:jc w:val="center"/>
            </w:pPr>
          </w:p>
        </w:tc>
      </w:tr>
      <w:tr w14:paraId="770512F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BD0982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B61A8F5"/>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06E2AE">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890B04">
            <w:pPr>
              <w:spacing w:before="0" w:after="0" w:line="240" w:lineRule="auto"/>
              <w:jc w:val="center"/>
            </w:pPr>
            <w:r>
              <w:rPr>
                <w:rFonts w:ascii="宋体" w:hAnsi="宋体" w:eastAsia="宋体"/>
                <w:b w:val="0"/>
                <w:i w:val="0"/>
                <w:sz w:val="18"/>
              </w:rPr>
              <w:t>设备购置数量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C6A5C1">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046478">
            <w:pPr>
              <w:spacing w:before="0" w:after="0" w:line="240" w:lineRule="auto"/>
              <w:jc w:val="center"/>
            </w:pPr>
            <w:r>
              <w:rPr>
                <w:rFonts w:ascii="宋体" w:hAnsi="宋体" w:eastAsia="宋体"/>
                <w:b w:val="0"/>
                <w:i w:val="0"/>
                <w:sz w:val="18"/>
              </w:rPr>
              <w:t>&gt;=10套</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39711C">
            <w:pPr>
              <w:spacing w:before="0" w:after="0" w:line="240" w:lineRule="auto"/>
              <w:jc w:val="center"/>
            </w:pPr>
            <w:r>
              <w:rPr>
                <w:rFonts w:ascii="宋体" w:hAnsi="宋体" w:eastAsia="宋体"/>
                <w:b w:val="0"/>
                <w:i w:val="0"/>
                <w:sz w:val="18"/>
              </w:rPr>
              <w:t>=150套</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86D9A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DC3FBD">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3D1A30">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6A049F">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C367BB">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F50442">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CC7D4C">
            <w:pPr>
              <w:spacing w:before="0" w:after="0" w:line="240" w:lineRule="auto"/>
              <w:jc w:val="center"/>
            </w:pPr>
          </w:p>
        </w:tc>
      </w:tr>
      <w:tr w14:paraId="054149C7">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57CADE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9EBD42B"/>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AA017E">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9E5D0C">
            <w:pPr>
              <w:spacing w:before="0" w:after="0" w:line="240" w:lineRule="auto"/>
              <w:jc w:val="center"/>
            </w:pPr>
            <w:r>
              <w:rPr>
                <w:rFonts w:ascii="宋体" w:hAnsi="宋体" w:eastAsia="宋体"/>
                <w:b w:val="0"/>
                <w:i w:val="0"/>
                <w:sz w:val="18"/>
              </w:rPr>
              <w:t>软件购置数量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258FCF">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1E9A12">
            <w:pPr>
              <w:spacing w:before="0" w:after="0" w:line="240" w:lineRule="auto"/>
              <w:jc w:val="center"/>
            </w:pPr>
            <w:r>
              <w:rPr>
                <w:rFonts w:ascii="宋体" w:hAnsi="宋体" w:eastAsia="宋体"/>
                <w:b w:val="0"/>
                <w:i w:val="0"/>
                <w:sz w:val="18"/>
              </w:rPr>
              <w:t>&gt;=2套</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CEBF71">
            <w:pPr>
              <w:spacing w:before="0" w:after="0" w:line="240" w:lineRule="auto"/>
              <w:jc w:val="center"/>
            </w:pPr>
            <w:r>
              <w:rPr>
                <w:rFonts w:ascii="宋体" w:hAnsi="宋体" w:eastAsia="宋体"/>
                <w:b w:val="0"/>
                <w:i w:val="0"/>
                <w:sz w:val="18"/>
              </w:rPr>
              <w:t>=3套</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C0117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6139CF">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66BE1F">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B6CE53">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89ACF2">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3CD7EA">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6465EE">
            <w:pPr>
              <w:spacing w:before="0" w:after="0" w:line="240" w:lineRule="auto"/>
              <w:jc w:val="center"/>
            </w:pPr>
          </w:p>
        </w:tc>
      </w:tr>
      <w:tr w14:paraId="3152519C">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FBC4D3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EA417CC"/>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4D329C">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3AB012">
            <w:pPr>
              <w:spacing w:before="0" w:after="0" w:line="240" w:lineRule="auto"/>
              <w:jc w:val="center"/>
            </w:pPr>
            <w:r>
              <w:rPr>
                <w:rFonts w:ascii="宋体" w:hAnsi="宋体" w:eastAsia="宋体"/>
                <w:b w:val="0"/>
                <w:i w:val="0"/>
                <w:sz w:val="18"/>
              </w:rPr>
              <w:t>购置设备合格率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4E8A50">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7C9DC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3F995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0952A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F6CCF9">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4984A9">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924CC6">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CBD0A0">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A894EF">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561E18">
            <w:pPr>
              <w:spacing w:before="0" w:after="0" w:line="240" w:lineRule="auto"/>
              <w:jc w:val="center"/>
            </w:pPr>
          </w:p>
        </w:tc>
      </w:tr>
      <w:tr w14:paraId="53850221">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11F189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D20848C"/>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290398">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1810EA">
            <w:pPr>
              <w:spacing w:before="0" w:after="0" w:line="240" w:lineRule="auto"/>
              <w:jc w:val="center"/>
            </w:pPr>
            <w:r>
              <w:rPr>
                <w:rFonts w:ascii="宋体" w:hAnsi="宋体" w:eastAsia="宋体"/>
                <w:b w:val="0"/>
                <w:i w:val="0"/>
                <w:sz w:val="18"/>
              </w:rPr>
              <w:t>工程验收合格率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91536B">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55D9EB">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A4571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22419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34BA81">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489343">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5D8B6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DD243F">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29DC22">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5FA4EC">
            <w:pPr>
              <w:spacing w:before="0" w:after="0" w:line="240" w:lineRule="auto"/>
              <w:jc w:val="center"/>
            </w:pPr>
          </w:p>
        </w:tc>
      </w:tr>
      <w:tr w14:paraId="174A96B7">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FB0DB0A"/>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C8B013">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7F8A90">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F580CC">
            <w:pPr>
              <w:spacing w:before="0" w:after="0" w:line="240" w:lineRule="auto"/>
              <w:jc w:val="center"/>
            </w:pPr>
            <w:r>
              <w:rPr>
                <w:rFonts w:ascii="宋体" w:hAnsi="宋体" w:eastAsia="宋体"/>
                <w:b w:val="0"/>
                <w:i w:val="0"/>
                <w:sz w:val="18"/>
              </w:rPr>
              <w:t>维修成本</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794FDE">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C62EF5">
            <w:pPr>
              <w:spacing w:before="0" w:after="0" w:line="240" w:lineRule="auto"/>
              <w:jc w:val="center"/>
            </w:pPr>
            <w:r>
              <w:rPr>
                <w:rFonts w:ascii="宋体" w:hAnsi="宋体" w:eastAsia="宋体"/>
                <w:b w:val="0"/>
                <w:i w:val="0"/>
                <w:sz w:val="18"/>
              </w:rPr>
              <w:t>&lt;=200万元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DA3832">
            <w:pPr>
              <w:spacing w:before="0" w:after="0" w:line="240" w:lineRule="auto"/>
              <w:jc w:val="center"/>
            </w:pPr>
            <w:r>
              <w:rPr>
                <w:rFonts w:ascii="宋体" w:hAnsi="宋体" w:eastAsia="宋体"/>
                <w:b w:val="0"/>
                <w:i w:val="0"/>
                <w:sz w:val="18"/>
              </w:rPr>
              <w:t>=5.32万元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641E1B">
            <w:pPr>
              <w:spacing w:before="0" w:after="0" w:line="240" w:lineRule="auto"/>
              <w:jc w:val="center"/>
            </w:pPr>
            <w:r>
              <w:rPr>
                <w:rFonts w:ascii="宋体" w:hAnsi="宋体" w:eastAsia="宋体"/>
                <w:b w:val="0"/>
                <w:i w:val="0"/>
                <w:sz w:val="18"/>
              </w:rPr>
              <w:t>2.66%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26B94D">
            <w:pPr>
              <w:spacing w:before="0" w:after="0" w:line="240" w:lineRule="auto"/>
              <w:jc w:val="center"/>
            </w:pPr>
            <w:r>
              <w:rPr>
                <w:rFonts w:ascii="宋体" w:hAnsi="宋体" w:eastAsia="宋体"/>
                <w:b w:val="0"/>
                <w:i w:val="0"/>
                <w:sz w:val="18"/>
              </w:rPr>
              <w:t>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3C56E5">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F8D18E">
            <w:pPr>
              <w:spacing w:before="0" w:after="0" w:line="240" w:lineRule="auto"/>
              <w:jc w:val="center"/>
            </w:pPr>
            <w:r>
              <w:rPr>
                <w:rFonts w:ascii="宋体" w:hAnsi="宋体" w:eastAsia="宋体"/>
                <w:b w:val="0"/>
                <w:i w:val="0"/>
                <w:sz w:val="18"/>
              </w:rPr>
              <w:t>445.58万元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D75B5E">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23D592">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CF301C">
            <w:pPr>
              <w:spacing w:before="0" w:after="0" w:line="240" w:lineRule="auto"/>
              <w:jc w:val="center"/>
            </w:pPr>
            <w:r>
              <w:rPr>
                <w:rFonts w:ascii="宋体" w:hAnsi="宋体" w:eastAsia="宋体"/>
                <w:b w:val="0"/>
                <w:i w:val="0"/>
                <w:sz w:val="18"/>
              </w:rPr>
              <w:t>学院预算外收入未达预期，且受历年财政专户资金还款影响，支付未达预期。</w:t>
            </w:r>
          </w:p>
        </w:tc>
      </w:tr>
      <w:tr w14:paraId="7E3256D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E303F5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C0ED966"/>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609F4A">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4887FF">
            <w:pPr>
              <w:spacing w:before="0" w:after="0" w:line="240" w:lineRule="auto"/>
              <w:jc w:val="center"/>
            </w:pPr>
            <w:r>
              <w:rPr>
                <w:rFonts w:ascii="宋体" w:hAnsi="宋体" w:eastAsia="宋体"/>
                <w:b w:val="0"/>
                <w:i w:val="0"/>
                <w:sz w:val="18"/>
              </w:rPr>
              <w:t>后勤保障经费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A67FEA">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4A3CCC">
            <w:pPr>
              <w:spacing w:before="0" w:after="0" w:line="240" w:lineRule="auto"/>
              <w:jc w:val="center"/>
            </w:pPr>
            <w:r>
              <w:rPr>
                <w:rFonts w:ascii="宋体" w:hAnsi="宋体" w:eastAsia="宋体"/>
                <w:b w:val="0"/>
                <w:i w:val="0"/>
                <w:sz w:val="18"/>
              </w:rPr>
              <w:t>&lt;=2256.30万元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0D05E5">
            <w:pPr>
              <w:spacing w:before="0" w:after="0" w:line="240" w:lineRule="auto"/>
              <w:jc w:val="center"/>
            </w:pPr>
            <w:r>
              <w:rPr>
                <w:rFonts w:ascii="宋体" w:hAnsi="宋体" w:eastAsia="宋体"/>
                <w:b w:val="0"/>
                <w:i w:val="0"/>
                <w:sz w:val="18"/>
              </w:rPr>
              <w:t>=846.07万元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F23194">
            <w:pPr>
              <w:spacing w:before="0" w:after="0" w:line="240" w:lineRule="auto"/>
              <w:jc w:val="center"/>
            </w:pPr>
            <w:r>
              <w:rPr>
                <w:rFonts w:ascii="宋体" w:hAnsi="宋体" w:eastAsia="宋体"/>
                <w:b w:val="0"/>
                <w:i w:val="0"/>
                <w:sz w:val="18"/>
              </w:rPr>
              <w:t>37.5%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FDA964">
            <w:pPr>
              <w:spacing w:before="0" w:after="0" w:line="240" w:lineRule="auto"/>
              <w:jc w:val="center"/>
            </w:pPr>
            <w:r>
              <w:rPr>
                <w:rFonts w:ascii="宋体" w:hAnsi="宋体" w:eastAsia="宋体"/>
                <w:b w:val="0"/>
                <w:i w:val="0"/>
                <w:sz w:val="18"/>
              </w:rPr>
              <w:t>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1E9EA4">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0C5A56">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501347">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70FB22">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FBC2B9">
            <w:pPr>
              <w:spacing w:before="0" w:after="0" w:line="240" w:lineRule="auto"/>
              <w:jc w:val="center"/>
            </w:pPr>
            <w:r>
              <w:rPr>
                <w:rFonts w:ascii="宋体" w:hAnsi="宋体" w:eastAsia="宋体"/>
                <w:b w:val="0"/>
                <w:i w:val="0"/>
                <w:sz w:val="18"/>
              </w:rPr>
              <w:t>学院预算外收入未达预期，且受历年财政专户资金还款影响，支付未达预期。</w:t>
            </w:r>
          </w:p>
        </w:tc>
      </w:tr>
      <w:tr w14:paraId="55A21AF7">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13F34F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04769AC"/>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4C224D">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63FEF7">
            <w:pPr>
              <w:spacing w:before="0" w:after="0" w:line="240" w:lineRule="auto"/>
              <w:jc w:val="center"/>
            </w:pPr>
            <w:r>
              <w:rPr>
                <w:rFonts w:ascii="宋体" w:hAnsi="宋体" w:eastAsia="宋体"/>
                <w:b w:val="0"/>
                <w:i w:val="0"/>
                <w:sz w:val="18"/>
              </w:rPr>
              <w:t>教育教学经费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03B84A">
            <w:pPr>
              <w:spacing w:before="0" w:after="0" w:line="240" w:lineRule="auto"/>
              <w:jc w:val="center"/>
            </w:pPr>
            <w:r>
              <w:rPr>
                <w:rFonts w:ascii="宋体" w:hAnsi="宋体" w:eastAsia="宋体"/>
                <w:b w:val="0"/>
                <w:i w:val="0"/>
                <w:sz w:val="18"/>
              </w:rPr>
              <w:t>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237CEC">
            <w:pPr>
              <w:spacing w:before="0" w:after="0" w:line="240" w:lineRule="auto"/>
              <w:jc w:val="center"/>
            </w:pPr>
            <w:r>
              <w:rPr>
                <w:rFonts w:ascii="宋体" w:hAnsi="宋体" w:eastAsia="宋体"/>
                <w:b w:val="0"/>
                <w:i w:val="0"/>
                <w:sz w:val="18"/>
              </w:rPr>
              <w:t>&lt;=849.16万元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222015">
            <w:pPr>
              <w:spacing w:before="0" w:after="0" w:line="240" w:lineRule="auto"/>
              <w:jc w:val="center"/>
            </w:pPr>
            <w:r>
              <w:rPr>
                <w:rFonts w:ascii="宋体" w:hAnsi="宋体" w:eastAsia="宋体"/>
                <w:b w:val="0"/>
                <w:i w:val="0"/>
                <w:sz w:val="18"/>
              </w:rPr>
              <w:t>=174.54万元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5E60BF">
            <w:pPr>
              <w:spacing w:before="0" w:after="0" w:line="240" w:lineRule="auto"/>
              <w:jc w:val="center"/>
            </w:pPr>
            <w:r>
              <w:rPr>
                <w:rFonts w:ascii="宋体" w:hAnsi="宋体" w:eastAsia="宋体"/>
                <w:b w:val="0"/>
                <w:i w:val="0"/>
                <w:sz w:val="18"/>
              </w:rPr>
              <w:t>20.55%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D2D431">
            <w:pPr>
              <w:spacing w:before="0" w:after="0" w:line="240" w:lineRule="auto"/>
              <w:jc w:val="center"/>
            </w:pPr>
            <w:r>
              <w:rPr>
                <w:rFonts w:ascii="宋体" w:hAnsi="宋体" w:eastAsia="宋体"/>
                <w:b w:val="0"/>
                <w:i w:val="0"/>
                <w:sz w:val="18"/>
              </w:rPr>
              <w:t>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18561E">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8784FE">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B086AD">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4D45BB">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88AF46">
            <w:pPr>
              <w:spacing w:before="0" w:after="0" w:line="240" w:lineRule="auto"/>
              <w:jc w:val="center"/>
            </w:pPr>
            <w:r>
              <w:rPr>
                <w:rFonts w:ascii="宋体" w:hAnsi="宋体" w:eastAsia="宋体"/>
                <w:b w:val="0"/>
                <w:i w:val="0"/>
                <w:sz w:val="18"/>
              </w:rPr>
              <w:t>学院预算外收入未达预期，且受历年财政专户资金还款影响，支付未达预期。</w:t>
            </w:r>
          </w:p>
        </w:tc>
      </w:tr>
      <w:tr w14:paraId="45EB29B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A1D79E8"/>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82D0F8">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9CB4FA">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404467">
            <w:pPr>
              <w:spacing w:before="0" w:after="0" w:line="240" w:lineRule="auto"/>
              <w:jc w:val="center"/>
            </w:pPr>
            <w:r>
              <w:rPr>
                <w:rFonts w:ascii="宋体" w:hAnsi="宋体" w:eastAsia="宋体"/>
                <w:b w:val="0"/>
                <w:i w:val="0"/>
                <w:sz w:val="18"/>
              </w:rPr>
              <w:t>受益学生人数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43495C">
            <w:pPr>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09C4A5">
            <w:pPr>
              <w:spacing w:before="0" w:after="0" w:line="240" w:lineRule="auto"/>
              <w:jc w:val="center"/>
            </w:pPr>
            <w:r>
              <w:rPr>
                <w:rFonts w:ascii="宋体" w:hAnsi="宋体" w:eastAsia="宋体"/>
                <w:b w:val="0"/>
                <w:i w:val="0"/>
                <w:sz w:val="18"/>
              </w:rPr>
              <w:t>&gt;=7000人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DBD68C">
            <w:pPr>
              <w:spacing w:before="0" w:after="0" w:line="240" w:lineRule="auto"/>
              <w:jc w:val="center"/>
            </w:pPr>
            <w:r>
              <w:rPr>
                <w:rFonts w:ascii="宋体" w:hAnsi="宋体" w:eastAsia="宋体"/>
                <w:b w:val="0"/>
                <w:i w:val="0"/>
                <w:sz w:val="18"/>
              </w:rPr>
              <w:t>=7735人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5147F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644258">
            <w:pPr>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1CAFA0">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3E9898">
            <w:pPr>
              <w:spacing w:before="0" w:after="0" w:line="240" w:lineRule="auto"/>
              <w:jc w:val="center"/>
            </w:pPr>
            <w:r>
              <w:rPr>
                <w:rFonts w:ascii="宋体" w:hAnsi="宋体" w:eastAsia="宋体"/>
                <w:b w:val="0"/>
                <w:i w:val="0"/>
                <w:sz w:val="18"/>
              </w:rPr>
              <w:t>8028人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ADAE3B">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EDA087">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5E144A">
            <w:pPr>
              <w:spacing w:before="0" w:after="0" w:line="240" w:lineRule="auto"/>
              <w:jc w:val="center"/>
            </w:pPr>
          </w:p>
        </w:tc>
      </w:tr>
      <w:tr w14:paraId="563D8B68">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59918C4"/>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0FBB3A">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3FFE7D">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F02818">
            <w:pPr>
              <w:spacing w:before="0" w:after="0" w:line="240" w:lineRule="auto"/>
              <w:jc w:val="center"/>
            </w:pPr>
            <w:r>
              <w:rPr>
                <w:rFonts w:ascii="宋体" w:hAnsi="宋体" w:eastAsia="宋体"/>
                <w:b w:val="0"/>
                <w:i w:val="0"/>
                <w:sz w:val="18"/>
              </w:rPr>
              <w:t>学生满意度</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E2CFE3">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DA56EE">
            <w:pPr>
              <w:spacing w:before="0" w:after="0" w:line="240" w:lineRule="auto"/>
              <w:jc w:val="center"/>
            </w:pPr>
            <w:r>
              <w:rPr>
                <w:rFonts w:ascii="宋体" w:hAnsi="宋体" w:eastAsia="宋体"/>
                <w:b w:val="0"/>
                <w:i w:val="0"/>
                <w:sz w:val="18"/>
              </w:rPr>
              <w:t>&gt;=92%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59BA21">
            <w:pPr>
              <w:spacing w:before="0" w:after="0" w:line="240" w:lineRule="auto"/>
              <w:jc w:val="center"/>
            </w:pPr>
            <w:r>
              <w:rPr>
                <w:rFonts w:ascii="宋体" w:hAnsi="宋体" w:eastAsia="宋体"/>
                <w:b w:val="0"/>
                <w:i w:val="0"/>
                <w:sz w:val="18"/>
              </w:rPr>
              <w:t>=93%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89221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06A12C">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6F1AB2">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50FB6D">
            <w:pPr>
              <w:spacing w:before="0" w:after="0" w:line="240" w:lineRule="auto"/>
              <w:jc w:val="center"/>
            </w:pPr>
            <w:r>
              <w:rPr>
                <w:rFonts w:ascii="宋体" w:hAnsi="宋体" w:eastAsia="宋体"/>
                <w:b w:val="0"/>
                <w:i w:val="0"/>
                <w:sz w:val="18"/>
              </w:rPr>
              <w:t>98%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5A3EDC">
            <w:pPr>
              <w:spacing w:before="0" w:after="0" w:line="240" w:lineRule="auto"/>
              <w:jc w:val="center"/>
            </w:pPr>
            <w:r>
              <w:rPr>
                <w:rFonts w:ascii="宋体" w:hAnsi="宋体" w:eastAsia="宋体"/>
                <w:b w:val="0"/>
                <w:i w:val="0"/>
                <w:sz w:val="18"/>
              </w:rPr>
              <w:t>满意度赋分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B860D4">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C6A247">
            <w:pPr>
              <w:spacing w:before="0" w:after="0" w:line="240" w:lineRule="auto"/>
              <w:jc w:val="center"/>
            </w:pPr>
          </w:p>
        </w:tc>
      </w:tr>
      <w:tr w14:paraId="657D967C">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5FD677C">
            <w:pPr>
              <w:spacing w:before="0" w:after="0" w:line="240" w:lineRule="auto"/>
              <w:jc w:val="center"/>
            </w:pPr>
            <w:bookmarkStart w:id="0" w:name="_GoBack"/>
            <w:r>
              <w:rPr>
                <w:rFonts w:ascii="宋体" w:hAnsi="宋体" w:eastAsia="宋体"/>
                <w:b/>
                <w:i w:val="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42713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0917B0">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B58E41">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E04271">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9B1DD9">
            <w:pPr>
              <w:spacing w:before="0" w:after="0" w:line="240" w:lineRule="auto"/>
              <w:jc w:val="center"/>
            </w:pPr>
            <w:r>
              <w:rPr>
                <w:rFonts w:ascii="宋体" w:hAnsi="宋体" w:eastAsia="宋体"/>
                <w:b w:val="0"/>
                <w:i w:val="0"/>
                <w:sz w:val="18"/>
              </w:rPr>
              <w:t>58.03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0E9DAB">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0A2EED">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5E48F8">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60C96C">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6ADEA6">
            <w:pPr>
              <w:spacing w:before="0" w:after="0" w:line="240" w:lineRule="auto"/>
              <w:jc w:val="center"/>
            </w:pPr>
          </w:p>
        </w:tc>
      </w:tr>
    </w:tbl>
    <w:p w14:paraId="61258216">
      <w:r>
        <w:br w:type="page"/>
      </w:r>
    </w:p>
    <w:p w14:paraId="39C74114">
      <w:pPr>
        <w:sectPr>
          <w:type w:val="continuous"/>
          <w:pgSz w:w="11906" w:h="16838"/>
          <w:pgMar w:top="1440" w:right="1800" w:bottom="1440" w:left="1800" w:header="851" w:footer="992" w:gutter="0"/>
          <w:cols w:space="720" w:num="1"/>
          <w:docGrid w:type="lines" w:linePitch="312" w:charSpace="0"/>
        </w:sectPr>
      </w:pPr>
    </w:p>
    <w:p w14:paraId="261B6B06">
      <w:pPr>
        <w:spacing w:line="640" w:lineRule="exact"/>
        <w:ind w:firstLine="640"/>
        <w:jc w:val="both"/>
        <w:outlineLvl w:val="2"/>
      </w:pPr>
      <w:r>
        <w:rPr>
          <w:rFonts w:ascii="黑体" w:hAnsi="黑体" w:eastAsia="黑体"/>
          <w:sz w:val="32"/>
        </w:rPr>
        <w:t>十二、其他需说明的事项</w:t>
      </w:r>
      <w:bookmarkEnd w:id="0"/>
    </w:p>
    <w:p w14:paraId="6753A899">
      <w:pPr>
        <w:spacing w:line="580" w:lineRule="exact"/>
        <w:ind w:firstLine="640"/>
        <w:jc w:val="both"/>
      </w:pPr>
      <w:r>
        <w:rPr>
          <w:rFonts w:ascii="仿宋_GB2312" w:hAnsi="仿宋_GB2312" w:eastAsia="仿宋_GB2312"/>
          <w:b w:val="0"/>
          <w:sz w:val="32"/>
        </w:rPr>
        <w:t>本单位无其他需说明的事项。</w:t>
      </w:r>
    </w:p>
    <w:p w14:paraId="412761E4">
      <w:r>
        <w:br w:type="page"/>
      </w:r>
    </w:p>
    <w:p w14:paraId="4D1F055D">
      <w:pPr>
        <w:spacing w:line="600" w:lineRule="exact"/>
        <w:jc w:val="center"/>
        <w:outlineLvl w:val="0"/>
      </w:pPr>
      <w:r>
        <w:rPr>
          <w:rFonts w:ascii="黑体" w:hAnsi="黑体" w:eastAsia="黑体"/>
          <w:sz w:val="32"/>
        </w:rPr>
        <w:t>第三部分 专业名词解释</w:t>
      </w:r>
    </w:p>
    <w:p w14:paraId="163E7950">
      <w:pPr>
        <w:autoSpaceDE w:val="0"/>
        <w:autoSpaceDN w:val="0"/>
        <w:spacing w:line="600" w:lineRule="exact"/>
        <w:ind w:firstLine="643" w:firstLineChars="20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14:paraId="2A9D9F98">
      <w:pPr>
        <w:autoSpaceDE w:val="0"/>
        <w:autoSpaceDN w:val="0"/>
        <w:spacing w:line="600" w:lineRule="exact"/>
        <w:ind w:firstLine="643" w:firstLineChars="20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41BDB71">
      <w:pPr>
        <w:autoSpaceDE w:val="0"/>
        <w:autoSpaceDN w:val="0"/>
        <w:spacing w:line="600" w:lineRule="exact"/>
        <w:ind w:firstLine="643" w:firstLineChars="20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14:paraId="0630DF8A">
      <w:pPr>
        <w:autoSpaceDE w:val="0"/>
        <w:autoSpaceDN w:val="0"/>
        <w:spacing w:line="600" w:lineRule="exact"/>
        <w:ind w:firstLine="643" w:firstLineChars="20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CFDF198">
      <w:pPr>
        <w:autoSpaceDE w:val="0"/>
        <w:autoSpaceDN w:val="0"/>
        <w:spacing w:line="600" w:lineRule="exact"/>
        <w:ind w:firstLine="643" w:firstLineChars="20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14:paraId="00129D31">
      <w:pPr>
        <w:autoSpaceDE w:val="0"/>
        <w:autoSpaceDN w:val="0"/>
        <w:spacing w:line="600" w:lineRule="exact"/>
        <w:ind w:firstLine="643" w:firstLineChars="20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14:paraId="3BA7F69B">
      <w:pPr>
        <w:autoSpaceDE w:val="0"/>
        <w:autoSpaceDN w:val="0"/>
        <w:spacing w:line="600" w:lineRule="exact"/>
        <w:ind w:firstLine="643" w:firstLineChars="20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14:paraId="2B6AE56A">
      <w:pPr>
        <w:autoSpaceDE w:val="0"/>
        <w:autoSpaceDN w:val="0"/>
        <w:spacing w:line="600" w:lineRule="exact"/>
        <w:ind w:firstLine="643" w:firstLineChars="20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14:paraId="2B38F88B">
      <w:pPr>
        <w:autoSpaceDE w:val="0"/>
        <w:autoSpaceDN w:val="0"/>
        <w:spacing w:line="600" w:lineRule="exact"/>
        <w:ind w:firstLine="643" w:firstLineChars="20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14:paraId="61DFABD6">
      <w:pPr>
        <w:autoSpaceDE w:val="0"/>
        <w:autoSpaceDN w:val="0"/>
        <w:spacing w:line="600" w:lineRule="exact"/>
        <w:ind w:firstLine="643" w:firstLineChars="20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14:paraId="7B3FDFA1">
      <w:pPr>
        <w:autoSpaceDE w:val="0"/>
        <w:autoSpaceDN w:val="0"/>
        <w:spacing w:line="600" w:lineRule="exact"/>
        <w:ind w:firstLine="643" w:firstLineChars="20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14:paraId="4CC5A9FB">
      <w:pPr>
        <w:autoSpaceDE w:val="0"/>
        <w:autoSpaceDN w:val="0"/>
        <w:spacing w:line="600" w:lineRule="exact"/>
        <w:ind w:firstLine="643" w:firstLineChars="20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14:paraId="7ED322BC">
      <w:pPr>
        <w:autoSpaceDE w:val="0"/>
        <w:autoSpaceDN w:val="0"/>
        <w:spacing w:line="600" w:lineRule="exact"/>
        <w:ind w:firstLine="643" w:firstLineChars="20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14:paraId="44BA3039">
      <w:pPr>
        <w:autoSpaceDE w:val="0"/>
        <w:autoSpaceDN w:val="0"/>
        <w:spacing w:line="600" w:lineRule="exact"/>
        <w:ind w:firstLine="643" w:firstLineChars="20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14:paraId="13912977">
      <w:pPr>
        <w:autoSpaceDE w:val="0"/>
        <w:autoSpaceDN w:val="0"/>
        <w:spacing w:line="600" w:lineRule="exact"/>
        <w:ind w:firstLine="643" w:firstLineChars="20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14:paraId="0035BA47">
      <w:pPr>
        <w:autoSpaceDE w:val="0"/>
        <w:autoSpaceDN w:val="0"/>
        <w:spacing w:line="600" w:lineRule="exact"/>
        <w:ind w:firstLine="643" w:firstLineChars="20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0F1C01A6">
      <w:pPr>
        <w:autoSpaceDE w:val="0"/>
        <w:autoSpaceDN w:val="0"/>
        <w:spacing w:line="600" w:lineRule="exact"/>
        <w:ind w:firstLine="643" w:firstLineChars="20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14:paraId="1DB25734">
      <w:r>
        <w:br w:type="page"/>
      </w:r>
    </w:p>
    <w:p w14:paraId="6FB1AAAC">
      <w:pPr>
        <w:spacing w:line="240" w:lineRule="auto"/>
        <w:jc w:val="center"/>
        <w:outlineLvl w:val="1"/>
      </w:pPr>
      <w:r>
        <w:rPr>
          <w:rFonts w:ascii="黑体" w:hAnsi="黑体" w:eastAsia="黑体"/>
          <w:sz w:val="32"/>
        </w:rPr>
        <w:t>第四部分 部门决算报表（见附表）</w:t>
      </w:r>
    </w:p>
    <w:p w14:paraId="019EB68B">
      <w:pPr>
        <w:autoSpaceDE w:val="0"/>
        <w:autoSpaceDN w:val="0"/>
        <w:spacing w:line="600" w:lineRule="exact"/>
        <w:ind w:firstLine="640" w:firstLineChars="200"/>
      </w:pPr>
      <w:r>
        <w:rPr>
          <w:rFonts w:ascii="仿宋_GB2312" w:hAnsi="仿宋_GB2312" w:eastAsia="仿宋_GB2312"/>
          <w:b w:val="0"/>
          <w:sz w:val="32"/>
        </w:rPr>
        <w:t>一、《收入支出决算总表》</w:t>
      </w:r>
    </w:p>
    <w:p w14:paraId="28E075EF">
      <w:pPr>
        <w:autoSpaceDE w:val="0"/>
        <w:autoSpaceDN w:val="0"/>
        <w:spacing w:line="600" w:lineRule="exact"/>
        <w:ind w:firstLine="640" w:firstLineChars="200"/>
      </w:pPr>
      <w:r>
        <w:rPr>
          <w:rFonts w:ascii="仿宋_GB2312" w:hAnsi="仿宋_GB2312" w:eastAsia="仿宋_GB2312"/>
          <w:b w:val="0"/>
          <w:sz w:val="32"/>
        </w:rPr>
        <w:t>二、《收入决算表》</w:t>
      </w:r>
    </w:p>
    <w:p w14:paraId="3385C73C">
      <w:pPr>
        <w:autoSpaceDE w:val="0"/>
        <w:autoSpaceDN w:val="0"/>
        <w:spacing w:line="600" w:lineRule="exact"/>
        <w:ind w:firstLine="640" w:firstLineChars="200"/>
      </w:pPr>
      <w:r>
        <w:rPr>
          <w:rFonts w:ascii="仿宋_GB2312" w:hAnsi="仿宋_GB2312" w:eastAsia="仿宋_GB2312"/>
          <w:b w:val="0"/>
          <w:sz w:val="32"/>
        </w:rPr>
        <w:t>三、《支出决算表》</w:t>
      </w:r>
    </w:p>
    <w:p w14:paraId="39A0AF5E">
      <w:pPr>
        <w:autoSpaceDE w:val="0"/>
        <w:autoSpaceDN w:val="0"/>
        <w:spacing w:line="600" w:lineRule="exact"/>
        <w:ind w:firstLine="640" w:firstLineChars="200"/>
      </w:pPr>
      <w:r>
        <w:rPr>
          <w:rFonts w:ascii="仿宋_GB2312" w:hAnsi="仿宋_GB2312" w:eastAsia="仿宋_GB2312"/>
          <w:b w:val="0"/>
          <w:sz w:val="32"/>
        </w:rPr>
        <w:t>四、《财政拨款收入支出决算总表》</w:t>
      </w:r>
    </w:p>
    <w:p w14:paraId="37B2C8EE">
      <w:pPr>
        <w:autoSpaceDE w:val="0"/>
        <w:autoSpaceDN w:val="0"/>
        <w:spacing w:line="600" w:lineRule="exact"/>
        <w:ind w:firstLine="640" w:firstLineChars="200"/>
      </w:pPr>
      <w:r>
        <w:rPr>
          <w:rFonts w:ascii="仿宋_GB2312" w:hAnsi="仿宋_GB2312" w:eastAsia="仿宋_GB2312"/>
          <w:b w:val="0"/>
          <w:sz w:val="32"/>
        </w:rPr>
        <w:t>五、《一般公共预算财政拨款支出决算表》</w:t>
      </w:r>
    </w:p>
    <w:p w14:paraId="79C96D41">
      <w:pPr>
        <w:autoSpaceDE w:val="0"/>
        <w:autoSpaceDN w:val="0"/>
        <w:spacing w:line="600" w:lineRule="exact"/>
        <w:ind w:firstLine="640" w:firstLineChars="200"/>
      </w:pPr>
      <w:r>
        <w:rPr>
          <w:rFonts w:ascii="仿宋_GB2312" w:hAnsi="仿宋_GB2312" w:eastAsia="仿宋_GB2312"/>
          <w:b w:val="0"/>
          <w:sz w:val="32"/>
        </w:rPr>
        <w:t>六、《一般公共预算财政拨款基本支出决算表》</w:t>
      </w:r>
    </w:p>
    <w:p w14:paraId="1E490D66">
      <w:pPr>
        <w:autoSpaceDE w:val="0"/>
        <w:autoSpaceDN w:val="0"/>
        <w:spacing w:line="600" w:lineRule="exact"/>
        <w:ind w:firstLine="640" w:firstLineChars="200"/>
      </w:pPr>
      <w:r>
        <w:rPr>
          <w:rFonts w:ascii="仿宋_GB2312" w:hAnsi="仿宋_GB2312" w:eastAsia="仿宋_GB2312"/>
          <w:b w:val="0"/>
          <w:sz w:val="32"/>
        </w:rPr>
        <w:t>七、《政府性基金预算财政拨款收入支出决算表》</w:t>
      </w:r>
    </w:p>
    <w:p w14:paraId="5BC34164">
      <w:pPr>
        <w:autoSpaceDE w:val="0"/>
        <w:autoSpaceDN w:val="0"/>
        <w:spacing w:line="600" w:lineRule="exact"/>
        <w:ind w:firstLine="640" w:firstLineChars="200"/>
      </w:pPr>
      <w:r>
        <w:rPr>
          <w:rFonts w:ascii="仿宋_GB2312" w:hAnsi="仿宋_GB2312" w:eastAsia="仿宋_GB2312"/>
          <w:b w:val="0"/>
          <w:sz w:val="32"/>
        </w:rPr>
        <w:t>八、《国有资本经营预算财政拨款收入支出决算表》</w:t>
      </w:r>
    </w:p>
    <w:p w14:paraId="47FE8121">
      <w:pPr>
        <w:autoSpaceDE w:val="0"/>
        <w:autoSpaceDN w:val="0"/>
        <w:spacing w:line="600" w:lineRule="exact"/>
        <w:ind w:firstLine="640" w:firstLineChars="200"/>
      </w:pPr>
      <w:r>
        <w:rPr>
          <w:rFonts w:ascii="仿宋_GB2312" w:hAnsi="仿宋_GB2312" w:eastAsia="仿宋_GB2312"/>
          <w:b w:val="0"/>
          <w:sz w:val="32"/>
        </w:rPr>
        <w:t>九、《财政拨款“三公”经费支出决算表》</w:t>
      </w:r>
    </w:p>
    <w:p w14:paraId="3D7E4A2B">
      <w:pPr>
        <w:autoSpaceDE w:val="0"/>
        <w:autoSpaceDN w:val="0"/>
        <w:spacing w:line="600" w:lineRule="exact"/>
        <w:ind w:firstLine="640" w:firstLineChars="200"/>
      </w:pPr>
    </w:p>
    <w:p w14:paraId="4522C579">
      <w:pPr>
        <w:autoSpaceDE w:val="0"/>
        <w:autoSpaceDN w:val="0"/>
        <w:spacing w:line="600" w:lineRule="exact"/>
        <w:ind w:firstLine="640" w:firstLineChars="200"/>
      </w:pPr>
    </w:p>
    <w:p w14:paraId="3D120FE6">
      <w:pPr>
        <w:autoSpaceDE w:val="0"/>
        <w:autoSpaceDN w:val="0"/>
        <w:spacing w:line="600" w:lineRule="exact"/>
        <w:ind w:firstLine="640" w:firstLineChars="200"/>
      </w:pPr>
    </w:p>
    <w:p w14:paraId="1A69D348">
      <w:pPr>
        <w:autoSpaceDE w:val="0"/>
        <w:autoSpaceDN w:val="0"/>
        <w:spacing w:line="600" w:lineRule="exact"/>
        <w:ind w:firstLine="640" w:firstLineChars="200"/>
      </w:pPr>
    </w:p>
    <w:p w14:paraId="34B7210F">
      <w:pPr>
        <w:autoSpaceDE w:val="0"/>
        <w:autoSpaceDN w:val="0"/>
        <w:spacing w:line="600" w:lineRule="exact"/>
        <w:ind w:firstLine="640" w:firstLineChars="20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E487544-788F-423E-9596-65752B2D5FE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669B2A4D-E201-48C7-8114-8E67BB3DCDE9}"/>
  </w:font>
  <w:font w:name="仿宋_GB2312">
    <w:panose1 w:val="02010609030101010101"/>
    <w:charset w:val="86"/>
    <w:family w:val="modern"/>
    <w:pitch w:val="default"/>
    <w:sig w:usb0="00000001" w:usb1="080E0000" w:usb2="00000000" w:usb3="00000000" w:csb0="00040000" w:csb1="00000000"/>
    <w:embedRegular r:id="rId3" w:fontKey="{52DBDDF9-41C5-4BD6-81BB-77D888A23909}"/>
  </w:font>
  <w:font w:name="楷体_GB2312">
    <w:altName w:val="楷体"/>
    <w:panose1 w:val="00000000000000000000"/>
    <w:charset w:val="00"/>
    <w:family w:val="auto"/>
    <w:pitch w:val="default"/>
    <w:sig w:usb0="00000000" w:usb1="00000000" w:usb2="00000000" w:usb3="00000000" w:csb0="00000000" w:csb1="00000000"/>
    <w:embedRegular r:id="rId4" w:fontKey="{C6D15555-90A7-4FB6-B352-366D6E0E7349}"/>
  </w:font>
  <w:font w:name="楷体">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84B7733"/>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ontractReview xmlns="http://schemas.wps.cn/vas-ai-hub/contract-review">
  <reviewItems>
    <reviewItem>
      <errorID>7463b264-1100-4b2e-bced-5ec37fa8c012</errorID>
      <errorWord>薪酬</errorWord>
      <group>L1_Sensitive</group>
      <groupName>敏感问题</groupName>
      <ability>L2_UserSensitive</ability>
      <abilityName>自定义敏感词</abilityName>
      <candidateList/>
      <explain>来自自定义敏感词库。</explain>
      <paraID>1C451777</paraID>
      <start>90</start>
      <end>92</end>
      <status>ignored</status>
      <modifiedWord/>
      <trackRevisions>false</trackRevisions>
    </reviewItem>
    <reviewItem>
      <errorID>9a7c03f7-b8a8-42ae-b869-d83a7b9d0b6b</errorID>
      <errorWord>2月31日</errorWord>
      <group>L1_Sensitive</group>
      <groupName>敏感问题</groupName>
      <ability>L2_UserSensitive</ability>
      <abilityName>自定义敏感词</abilityName>
      <candidateList/>
      <explain>来自自定义敏感词库。</explain>
      <paraID>24279C86</paraID>
      <start>8</start>
      <end>13</end>
      <status>ignored</status>
      <modifiedWord/>
      <trackRevisions>false</trackRevisions>
    </reviewItem>
    <reviewItem>
      <errorID>011907e6-fb21-4a00-bd7e-1f45f0dca86a</errorID>
      <errorWord>第一、</errorWord>
      <group>L1_Punc</group>
      <groupName>标点问题</groupName>
      <ability>L2_Punc_CN</ability>
      <abilityName>标点符号问题</abilityName>
      <candidateList>
        <item>第一，</item>
      </candidateList>
      <explain>连接词前后不宜使用顿号，建议使用逗号。</explain>
      <paraID>3A7F269E</paraID>
      <start>247</start>
      <end>250</end>
      <status>ignored</status>
      <modifiedWord/>
      <trackRevisions>false</trackRevisions>
    </reviewItem>
    <reviewItem>
      <errorID>991df658-db5f-4fa6-a26d-9da78e4ef948</errorID>
      <errorWord>第二、</errorWord>
      <group>L1_Punc</group>
      <groupName>标点问题</groupName>
      <ability>L2_Punc_CN</ability>
      <abilityName>标点符号问题</abilityName>
      <candidateList>
        <item>第二，</item>
      </candidateList>
      <explain>连接词前后不宜使用顿号，建议使用逗号。</explain>
      <paraID>3A7F269E</paraID>
      <start>354</start>
      <end>357</end>
      <status>ignored</status>
      <modifiedWord/>
      <trackRevisions>false</trackRevisions>
    </reviewItem>
    <reviewItem>
      <errorID>ff02a695-b37c-4d78-b5a2-6cf2042187f8</errorID>
      <errorWord>第一、</errorWord>
      <group>L1_Punc</group>
      <groupName>标点问题</groupName>
      <ability>L2_Punc_CN</ability>
      <abilityName>标点符号问题</abilityName>
      <candidateList>
        <item>第一，</item>
      </candidateList>
      <explain>连接词前后不宜使用顿号，建议使用逗号。</explain>
      <paraID>3A7F269E</paraID>
      <start>562</start>
      <end>565</end>
      <status>ignored</status>
      <modifiedWord/>
      <trackRevisions>false</trackRevisions>
    </reviewItem>
    <reviewItem>
      <errorID>05ec5522-c71f-4283-85f2-97cc7683a2fb</errorID>
      <errorWord>警</errorWord>
      <group>L1_Sensitive</group>
      <groupName>敏感问题</groupName>
      <ability>L2_UserSensitive</ability>
      <abilityName>自定义敏感词</abilityName>
      <candidateList/>
      <explain>来自自定义敏感词库。</explain>
      <paraID>3A7F269E</paraID>
      <start>675</start>
      <end>676</end>
      <status>ignored</status>
      <modifiedWord/>
      <trackRevisions>false</trackRevisions>
    </reviewItem>
    <reviewItem>
      <errorID>82876e9b-6715-4549-be02-df3733210dd8</errorID>
      <errorWord>职业技能培训</errorWord>
      <group>L1_Sensitive</group>
      <groupName>敏感问题</groupName>
      <ability>L2_UserSensitive</ability>
      <abilityName>自定义敏感词</abilityName>
      <candidateList/>
      <explain>来自自定义敏感词库。</explain>
      <paraID>3A7F269E</paraID>
      <start>734</start>
      <end>740</end>
      <status>ignored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customXml/itemProps3.xml><?xml version="1.0" encoding="utf-8"?>
<ds:datastoreItem xmlns:ds="http://schemas.openxmlformats.org/officeDocument/2006/customXml" ds:itemID="{47ccb129-8e96-4f34-ab81-8c2dfe88024d}">
  <ds:schemaRefs/>
</ds:datastoreItem>
</file>

<file path=docProps/app.xml><?xml version="1.0" encoding="utf-8"?>
<Properties xmlns="http://schemas.openxmlformats.org/officeDocument/2006/extended-properties" xmlns:vt="http://schemas.openxmlformats.org/officeDocument/2006/docPropsVTypes">
  <Template>Normal.dotm</Template>
  <Pages>21</Pages>
  <Words>8230</Words>
  <Characters>9236</Characters>
  <Lines>10</Lines>
  <Paragraphs>2</Paragraphs>
  <TotalTime>19</TotalTime>
  <ScaleCrop>false</ScaleCrop>
  <LinksUpToDate>false</LinksUpToDate>
  <CharactersWithSpaces>9246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周丽君</cp:lastModifiedBy>
  <cp:lastPrinted>2024-07-22T11:58:00Z</cp:lastPrinted>
  <dcterms:modified xsi:type="dcterms:W3CDTF">2026-09-01T04:36:31Z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eyJoZGlkIjoiMjEwMjVmNmU3OTQwZDBjNjI0ZTM3MTBmNDI0OGIzYzIiLCJ1c2VySWQiOiIyMDM3MTI1NTkifQ==</vt:lpwstr>
  </property>
</Properties>
</file>