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新疆铁道职业技术学院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7017D6A4">
      <w:r>
        <w:br w:type="page"/>
      </w:r>
    </w:p>
    <w:p w14:paraId="5BA9FAA2">
      <w:pPr>
        <w:spacing w:line="640" w:lineRule="exact"/>
        <w:jc w:val="center"/>
        <w:outlineLvl w:val="1"/>
      </w:pPr>
      <w:r>
        <w:rPr>
          <w:rFonts w:ascii="黑体" w:hAnsi="黑体" w:eastAsia="黑体"/>
          <w:sz w:val="32"/>
        </w:rPr>
        <w:t>第一部分 单位概况</w:t>
      </w:r>
    </w:p>
    <w:p w14:paraId="37961241">
      <w:pPr>
        <w:spacing w:line="640" w:lineRule="exact"/>
        <w:ind w:firstLine="640"/>
        <w:jc w:val="both"/>
        <w:outlineLvl w:val="2"/>
      </w:pPr>
      <w:r>
        <w:rPr>
          <w:rFonts w:ascii="黑体" w:hAnsi="黑体" w:eastAsia="黑体"/>
          <w:sz w:val="32"/>
        </w:rPr>
        <w:t>一、主要职能</w:t>
      </w:r>
    </w:p>
    <w:p w14:paraId="1D9DFBED">
      <w:pPr>
        <w:spacing w:line="580" w:lineRule="exact"/>
        <w:ind w:firstLine="640"/>
        <w:jc w:val="both"/>
      </w:pPr>
      <w:r>
        <w:rPr>
          <w:rFonts w:ascii="仿宋_GB2312" w:hAnsi="仿宋_GB2312" w:eastAsia="仿宋_GB2312"/>
          <w:sz w:val="32"/>
        </w:rPr>
        <w:t>2024年7月新疆铁道职业技术学院与哈密职业技术学院合并成立新的新疆铁道职业技术学院。原新疆铁道职业技术学院前身是创建于1950年的西北铁路干线工程局天水铁路人员训练所，后分别成立隶属于乌鲁木齐铁路局的乌鲁木齐铁路运输学校和哈密铁路运输技工学校，2012年合并成立新疆铁道职业技术学院。原哈密职业技术学院前身是创建于1959年的哈密地区卫生学校、农业学校和技工学校，后合并为哈密职业技术学校，2014年成立哈密职业技术学院。学校主要承担依法开展专科层次学历教育，统筹职业培训与继续教育，同步开展技术服务和国际交流合作等职能。学校现有两区（主校区、八一路校区）、一园（北京路校区科创园）、一基地（火石泉产教融合基地），总面积1992亩，建筑面积43万平方米。在册学生11089人，其中高职生9681人。设有13个二级学院，开设有51个高职专业，联办4个本科专业，拥有专业实训室252个、校外实习基地108个，其中央财政支持实训基地2个、教育部生产性实训基地2个；建成5.2万平方米的高铁综合生产性实训基地，列车可直接驶入校园。学校是全国教育系统先进集体、国家级高技能人才培训基地、教育部第二批示范性职业教育集团、教育部现代学徒制试点单位、国家职业教育信息化标杆校建设单位、全国职业院校第二批数字校园试点院校建设单位、国家铁路局全国铁路机</w:t>
      </w:r>
      <w:r>
        <w:rPr>
          <w:rFonts w:hint="eastAsia" w:ascii="仿宋_GB2312" w:hAnsi="仿宋_GB2312" w:eastAsia="仿宋_GB2312"/>
          <w:sz w:val="32"/>
          <w:lang w:eastAsia="zh-CN"/>
        </w:rPr>
        <w:t>车驾驶</w:t>
      </w:r>
      <w:r>
        <w:rPr>
          <w:rFonts w:ascii="仿宋_GB2312" w:hAnsi="仿宋_GB2312" w:eastAsia="仿宋_GB2312"/>
          <w:sz w:val="32"/>
        </w:rPr>
        <w:t>人员资格考试考点、国铁集团机车驾驶人员培训基地；是新疆第三批优质高等职业学校、首批工匠学院；是新疆职业教育示范性高速铁道虚拟仿真实训基地、首批轨道交通产教融合实训示范基地、第二批能源装备智能制造产教融合实训基地、特色旅游公共实训基地；先后获评新疆首批教学工作质量诊断与改进复核“有效”院校、依法治校示范校、语言文字工作示范校、德育示范校、思想政治教育科研工作先进学校。</w:t>
      </w:r>
    </w:p>
    <w:p w14:paraId="750F8685">
      <w:pPr>
        <w:spacing w:line="640" w:lineRule="exact"/>
        <w:ind w:firstLine="640"/>
        <w:jc w:val="both"/>
        <w:outlineLvl w:val="2"/>
      </w:pPr>
      <w:r>
        <w:rPr>
          <w:rFonts w:ascii="黑体" w:hAnsi="黑体" w:eastAsia="黑体"/>
          <w:sz w:val="32"/>
        </w:rPr>
        <w:t>二、机构设置</w:t>
      </w:r>
    </w:p>
    <w:p w14:paraId="32D5CFA6">
      <w:pPr>
        <w:spacing w:line="580" w:lineRule="exact"/>
        <w:ind w:firstLine="640"/>
        <w:jc w:val="both"/>
      </w:pPr>
      <w:r>
        <w:rPr>
          <w:rFonts w:ascii="仿宋_GB2312" w:hAnsi="仿宋_GB2312" w:eastAsia="仿宋_GB2312"/>
          <w:sz w:val="32"/>
        </w:rPr>
        <w:t>新疆铁道职业技术学院无下属预算单位。</w:t>
      </w:r>
    </w:p>
    <w:p w14:paraId="1A826BD9">
      <w:r>
        <w:br w:type="page"/>
      </w:r>
    </w:p>
    <w:p w14:paraId="2111E718">
      <w:pPr>
        <w:spacing w:line="240" w:lineRule="auto"/>
        <w:jc w:val="center"/>
        <w:outlineLvl w:val="1"/>
      </w:pPr>
      <w:r>
        <w:rPr>
          <w:rFonts w:ascii="黑体" w:hAnsi="黑体" w:eastAsia="黑体"/>
          <w:sz w:val="32"/>
        </w:rPr>
        <w:t>第二部分 部门决算情况说明</w:t>
      </w:r>
    </w:p>
    <w:p w14:paraId="4058BA11">
      <w:pPr>
        <w:spacing w:line="640" w:lineRule="exact"/>
        <w:ind w:firstLine="640"/>
        <w:jc w:val="both"/>
        <w:outlineLvl w:val="2"/>
      </w:pPr>
      <w:r>
        <w:rPr>
          <w:rFonts w:ascii="黑体" w:hAnsi="黑体" w:eastAsia="黑体"/>
          <w:sz w:val="32"/>
        </w:rPr>
        <w:t>一、收入支出决算总体情况说明</w:t>
      </w:r>
    </w:p>
    <w:p w14:paraId="7AF67F51">
      <w:pPr>
        <w:spacing w:line="580" w:lineRule="exact"/>
        <w:ind w:firstLine="640"/>
        <w:jc w:val="both"/>
      </w:pPr>
      <w:r>
        <w:rPr>
          <w:rFonts w:ascii="仿宋_GB2312" w:hAnsi="仿宋_GB2312" w:eastAsia="仿宋_GB2312"/>
          <w:b/>
          <w:sz w:val="32"/>
        </w:rPr>
        <w:t>2025年度收入总计17,698.10万元，</w:t>
      </w:r>
      <w:r>
        <w:rPr>
          <w:rFonts w:ascii="仿宋_GB2312" w:hAnsi="仿宋_GB2312" w:eastAsia="仿宋_GB2312"/>
          <w:b w:val="0"/>
          <w:sz w:val="32"/>
        </w:rPr>
        <w:t>其中：本年收入合计17,212.91万元，使用非财政拨款结余（含专用结余）0.00万元，年初结转和结余485.19万元。</w:t>
      </w:r>
    </w:p>
    <w:p w14:paraId="2C1A4A8A">
      <w:pPr>
        <w:spacing w:line="580" w:lineRule="exact"/>
        <w:ind w:firstLine="640"/>
        <w:jc w:val="both"/>
      </w:pPr>
      <w:r>
        <w:rPr>
          <w:rFonts w:ascii="仿宋_GB2312" w:hAnsi="仿宋_GB2312" w:eastAsia="仿宋_GB2312"/>
          <w:b/>
          <w:sz w:val="32"/>
        </w:rPr>
        <w:t>2025年度支出总计17,698.10万元，</w:t>
      </w:r>
      <w:r>
        <w:rPr>
          <w:rFonts w:ascii="仿宋_GB2312" w:hAnsi="仿宋_GB2312" w:eastAsia="仿宋_GB2312"/>
          <w:b w:val="0"/>
          <w:sz w:val="32"/>
        </w:rPr>
        <w:t>其中：本年支出合计17,698.10万元，结余分配0.00万元，年末结转和结余0.00万元。</w:t>
      </w:r>
    </w:p>
    <w:p w14:paraId="4F695976">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减少3,811.00万元，下降17.72%，主要原因是：一是本年度在校学生人数减少，按照生均拨款政策相应核减一般公共预算财政拨款收入；二是受业务调整影响，财政下达的自治区就业补助资金规模大幅下降。</w:t>
      </w:r>
    </w:p>
    <w:p w14:paraId="26505AA7">
      <w:pPr>
        <w:spacing w:line="640" w:lineRule="exact"/>
        <w:ind w:firstLine="640"/>
        <w:jc w:val="both"/>
        <w:outlineLvl w:val="2"/>
      </w:pPr>
      <w:r>
        <w:rPr>
          <w:rFonts w:ascii="黑体" w:hAnsi="黑体" w:eastAsia="黑体"/>
          <w:sz w:val="32"/>
        </w:rPr>
        <w:t>二、收入决算情况说明</w:t>
      </w:r>
    </w:p>
    <w:p w14:paraId="0CA21613">
      <w:pPr>
        <w:spacing w:line="580" w:lineRule="exact"/>
        <w:ind w:firstLine="640"/>
        <w:jc w:val="both"/>
      </w:pPr>
      <w:r>
        <w:rPr>
          <w:rFonts w:ascii="仿宋_GB2312" w:hAnsi="仿宋_GB2312" w:eastAsia="仿宋_GB2312"/>
          <w:b/>
          <w:sz w:val="32"/>
        </w:rPr>
        <w:t>本年收入17,212.91万元，</w:t>
      </w:r>
      <w:r>
        <w:rPr>
          <w:rFonts w:ascii="仿宋_GB2312" w:hAnsi="仿宋_GB2312" w:eastAsia="仿宋_GB2312"/>
          <w:b w:val="0"/>
          <w:sz w:val="32"/>
        </w:rPr>
        <w:t>其中：财政拨款收入12,219.22万元，占70.99%；上级补助收入0.00万元，占0.00%；事业收入2,927.61万元，占17.01%；经营收入2,066.08万元，占12.00%；附属单位上缴收入0.00万元，占0.00%；其他收入0.00万元，占0.00%。</w:t>
      </w:r>
    </w:p>
    <w:p w14:paraId="6D2266C6">
      <w:pPr>
        <w:spacing w:line="640" w:lineRule="exact"/>
        <w:ind w:firstLine="640"/>
        <w:jc w:val="both"/>
        <w:outlineLvl w:val="2"/>
      </w:pPr>
      <w:r>
        <w:rPr>
          <w:rFonts w:ascii="黑体" w:hAnsi="黑体" w:eastAsia="黑体"/>
          <w:sz w:val="32"/>
        </w:rPr>
        <w:t>三、支出决算情况说明</w:t>
      </w:r>
    </w:p>
    <w:p w14:paraId="5C615263">
      <w:pPr>
        <w:spacing w:line="580" w:lineRule="exact"/>
        <w:ind w:firstLine="640"/>
        <w:jc w:val="both"/>
      </w:pPr>
      <w:r>
        <w:rPr>
          <w:rFonts w:ascii="仿宋_GB2312" w:hAnsi="仿宋_GB2312" w:eastAsia="仿宋_GB2312"/>
          <w:b/>
          <w:sz w:val="32"/>
        </w:rPr>
        <w:t>本年支出17,698.10万元，</w:t>
      </w:r>
      <w:r>
        <w:rPr>
          <w:rFonts w:ascii="仿宋_GB2312" w:hAnsi="仿宋_GB2312" w:eastAsia="仿宋_GB2312"/>
          <w:b w:val="0"/>
          <w:sz w:val="32"/>
        </w:rPr>
        <w:t>其中：基本支出8,829.70万元，占49.89%；项目支出6,802.31万元，占38.44%；上缴上级支出0.00万元，占0.00%；经营支出2,066.08万元，占11.67%；对附属单位补助支出0.00万元，占0.00%。</w:t>
      </w:r>
    </w:p>
    <w:p w14:paraId="30C27663">
      <w:pPr>
        <w:spacing w:line="640" w:lineRule="exact"/>
        <w:ind w:firstLine="640"/>
        <w:jc w:val="both"/>
        <w:outlineLvl w:val="2"/>
      </w:pPr>
      <w:r>
        <w:rPr>
          <w:rFonts w:ascii="黑体" w:hAnsi="黑体" w:eastAsia="黑体"/>
          <w:sz w:val="32"/>
        </w:rPr>
        <w:t>四、财政拨款收入支出决算总体情况说明</w:t>
      </w:r>
    </w:p>
    <w:p w14:paraId="2A258DEB">
      <w:pPr>
        <w:spacing w:line="580" w:lineRule="exact"/>
        <w:ind w:firstLine="640"/>
        <w:jc w:val="both"/>
      </w:pPr>
      <w:r>
        <w:rPr>
          <w:rFonts w:ascii="仿宋_GB2312" w:hAnsi="仿宋_GB2312" w:eastAsia="仿宋_GB2312"/>
          <w:b/>
          <w:sz w:val="32"/>
        </w:rPr>
        <w:t>2025年度财政拨款收入总计12,704.40万元，</w:t>
      </w:r>
      <w:r>
        <w:rPr>
          <w:rFonts w:ascii="仿宋_GB2312" w:hAnsi="仿宋_GB2312" w:eastAsia="仿宋_GB2312"/>
          <w:b w:val="0"/>
          <w:sz w:val="32"/>
        </w:rPr>
        <w:t>其中：年初财政拨款结转和结余485.19万元，本年财政拨款收入12,219.22万元。</w:t>
      </w:r>
      <w:r>
        <w:rPr>
          <w:rFonts w:ascii="仿宋_GB2312" w:hAnsi="仿宋_GB2312" w:eastAsia="仿宋_GB2312"/>
          <w:b/>
          <w:sz w:val="32"/>
        </w:rPr>
        <w:t>财政拨款支出总计12,704.40万元，</w:t>
      </w:r>
      <w:r>
        <w:rPr>
          <w:rFonts w:ascii="仿宋_GB2312" w:hAnsi="仿宋_GB2312" w:eastAsia="仿宋_GB2312"/>
          <w:b w:val="0"/>
          <w:sz w:val="32"/>
        </w:rPr>
        <w:t>其中：年末财政拨款结转和结余0.00万元，本年财政拨款支出12,704.40万元。</w:t>
      </w:r>
    </w:p>
    <w:p w14:paraId="2033E09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减少4,104.70万元，下降24.42%，主要原因是：一是本年度在校学生人数减少，按照生均拨款政策相应核减一般公共预算财政拨款收入；二是受业务调整影响，财政下达的自治区就业补助资金规模大幅下降。</w:t>
      </w:r>
      <w:r>
        <w:rPr>
          <w:rFonts w:ascii="仿宋_GB2312" w:hAnsi="仿宋_GB2312" w:eastAsia="仿宋_GB2312"/>
          <w:b/>
          <w:sz w:val="32"/>
        </w:rPr>
        <w:t>与年初预算相比，</w:t>
      </w:r>
      <w:r>
        <w:rPr>
          <w:rFonts w:ascii="仿宋_GB2312" w:hAnsi="仿宋_GB2312" w:eastAsia="仿宋_GB2312"/>
          <w:b w:val="0"/>
          <w:sz w:val="32"/>
        </w:rPr>
        <w:t>年初预算数12,514.60万元，决算数12,704.40万元，预决算差异率1.52%，主要原因是：年中财政追加新疆人才发展基金“天山英才”培养计划资金以及自治区驻村工作队员南疆补贴、工作经费等专项资金。</w:t>
      </w:r>
    </w:p>
    <w:p w14:paraId="618D645C">
      <w:pPr>
        <w:spacing w:line="640" w:lineRule="exact"/>
        <w:ind w:firstLine="640"/>
        <w:jc w:val="both"/>
        <w:outlineLvl w:val="2"/>
      </w:pPr>
      <w:r>
        <w:rPr>
          <w:rFonts w:ascii="黑体" w:hAnsi="黑体" w:eastAsia="黑体"/>
          <w:sz w:val="32"/>
        </w:rPr>
        <w:t>五、一般公共预算财政拨款支出决算情况说明</w:t>
      </w:r>
    </w:p>
    <w:p w14:paraId="1297A550">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专科层次学历教育、统筹职业培训与继续教育、技术服务和国际交流合作等重点支出，体现在有关支出科目中。</w:t>
      </w:r>
    </w:p>
    <w:p w14:paraId="44CA888D">
      <w:pPr>
        <w:spacing w:line="580" w:lineRule="exact"/>
        <w:ind w:firstLine="640"/>
        <w:jc w:val="both"/>
      </w:pPr>
      <w:r>
        <w:rPr>
          <w:rFonts w:ascii="仿宋_GB2312" w:hAnsi="仿宋_GB2312" w:eastAsia="仿宋_GB2312"/>
          <w:b w:val="0"/>
          <w:sz w:val="32"/>
        </w:rPr>
        <w:t>按照支出功能分类，教育支出（类）职业教育（款）高等职业教育（项）的支出占本年财政拨款支出总额的比重最高，2025年度决算数为12,279.97万元，占比96.66%，主要用于人员工资福利支出、日常办学运转、教学实训、学生资助及职业教育相关业务开展。</w:t>
      </w:r>
    </w:p>
    <w:p w14:paraId="6312D4B0">
      <w:pPr>
        <w:spacing w:line="640" w:lineRule="exact"/>
        <w:ind w:firstLine="640"/>
        <w:jc w:val="both"/>
        <w:outlineLvl w:val="3"/>
      </w:pPr>
      <w:r>
        <w:rPr>
          <w:rFonts w:ascii="楷体_GB2312" w:hAnsi="楷体_GB2312" w:eastAsia="楷体_GB2312"/>
          <w:b/>
          <w:sz w:val="32"/>
        </w:rPr>
        <w:t>（一）一般公共预算财政拨款支出决算总体情况</w:t>
      </w:r>
    </w:p>
    <w:p w14:paraId="7627D5F8">
      <w:pPr>
        <w:spacing w:line="580" w:lineRule="exact"/>
        <w:ind w:firstLine="640"/>
        <w:jc w:val="both"/>
      </w:pPr>
      <w:r>
        <w:rPr>
          <w:rFonts w:ascii="仿宋_GB2312" w:hAnsi="仿宋_GB2312" w:eastAsia="仿宋_GB2312"/>
          <w:b/>
          <w:sz w:val="32"/>
        </w:rPr>
        <w:t>2025年度一般公共预算财政拨款支出12,704.40万元，</w:t>
      </w:r>
      <w:r>
        <w:rPr>
          <w:rFonts w:ascii="仿宋_GB2312" w:hAnsi="仿宋_GB2312" w:eastAsia="仿宋_GB2312"/>
          <w:b w:val="0"/>
          <w:sz w:val="32"/>
        </w:rPr>
        <w:t>占本年支出合计的71.78%。</w:t>
      </w:r>
      <w:r>
        <w:rPr>
          <w:rFonts w:ascii="仿宋_GB2312" w:hAnsi="仿宋_GB2312" w:eastAsia="仿宋_GB2312"/>
          <w:b/>
          <w:sz w:val="32"/>
        </w:rPr>
        <w:t>与上年相比，</w:t>
      </w:r>
      <w:r>
        <w:rPr>
          <w:rFonts w:ascii="仿宋_GB2312" w:hAnsi="仿宋_GB2312" w:eastAsia="仿宋_GB2312"/>
          <w:b w:val="0"/>
          <w:sz w:val="32"/>
        </w:rPr>
        <w:t>减少3,613.42万元，下降22.14%，主要原因是：一是本年度在校学生人数减少，按照生均拨款政策相应核减一般公共预算财政拨款收入；二是受业务调整影响，财政下达的自治区就业补助资金规模大幅下降。</w:t>
      </w:r>
      <w:r>
        <w:rPr>
          <w:rFonts w:ascii="仿宋_GB2312" w:hAnsi="仿宋_GB2312" w:eastAsia="仿宋_GB2312"/>
          <w:b/>
          <w:sz w:val="32"/>
        </w:rPr>
        <w:t>与年初预算相比，</w:t>
      </w:r>
      <w:r>
        <w:rPr>
          <w:rFonts w:ascii="仿宋_GB2312" w:hAnsi="仿宋_GB2312" w:eastAsia="仿宋_GB2312"/>
          <w:b w:val="0"/>
          <w:sz w:val="32"/>
        </w:rPr>
        <w:t>年初预算数12,514.60万元，决算数12,704.40万元，预决算差异率1.52%，主要原因是：年中财政追加新疆人才发展基金“天山英才”培养计划资金以及自治区驻村工作队员南疆补贴、工作经费等专项资金。</w:t>
      </w:r>
    </w:p>
    <w:p w14:paraId="7CA46DC7">
      <w:pPr>
        <w:spacing w:line="640" w:lineRule="exact"/>
        <w:ind w:firstLine="640"/>
        <w:jc w:val="both"/>
        <w:outlineLvl w:val="3"/>
      </w:pPr>
      <w:r>
        <w:rPr>
          <w:rFonts w:ascii="楷体_GB2312" w:hAnsi="楷体_GB2312" w:eastAsia="楷体_GB2312"/>
          <w:b/>
          <w:sz w:val="32"/>
        </w:rPr>
        <w:t>（二）一般公共预算财政拨款支出决算结构情况</w:t>
      </w:r>
    </w:p>
    <w:p w14:paraId="25EA0695">
      <w:pPr>
        <w:spacing w:line="580" w:lineRule="exact"/>
        <w:ind w:firstLine="640"/>
        <w:jc w:val="both"/>
      </w:pPr>
      <w:r>
        <w:rPr>
          <w:rFonts w:ascii="仿宋_GB2312" w:hAnsi="仿宋_GB2312" w:eastAsia="仿宋_GB2312"/>
          <w:b w:val="0"/>
          <w:sz w:val="32"/>
        </w:rPr>
        <w:t>1.教育支出（类）12,661.68万元，占99.66%。</w:t>
      </w:r>
    </w:p>
    <w:p w14:paraId="4AC69214">
      <w:pPr>
        <w:spacing w:line="580" w:lineRule="exact"/>
        <w:ind w:firstLine="640"/>
        <w:jc w:val="both"/>
      </w:pPr>
      <w:r>
        <w:rPr>
          <w:rFonts w:ascii="仿宋_GB2312" w:hAnsi="仿宋_GB2312" w:eastAsia="仿宋_GB2312"/>
          <w:b w:val="0"/>
          <w:sz w:val="32"/>
        </w:rPr>
        <w:t>2.社会保障和就业支出（类）42.72万元，占0.34%。</w:t>
      </w:r>
    </w:p>
    <w:p w14:paraId="262787C6">
      <w:pPr>
        <w:spacing w:line="640" w:lineRule="exact"/>
        <w:ind w:firstLine="640"/>
        <w:jc w:val="both"/>
        <w:outlineLvl w:val="3"/>
      </w:pPr>
      <w:r>
        <w:rPr>
          <w:rFonts w:ascii="楷体_GB2312" w:hAnsi="楷体_GB2312" w:eastAsia="楷体_GB2312"/>
          <w:b/>
          <w:sz w:val="32"/>
        </w:rPr>
        <w:t>（三）一般公共预算财政拨款支出决算具体情况</w:t>
      </w:r>
    </w:p>
    <w:p w14:paraId="6A767A0A">
      <w:pPr>
        <w:spacing w:line="580" w:lineRule="exact"/>
        <w:ind w:firstLine="640"/>
        <w:jc w:val="both"/>
      </w:pPr>
      <w:r>
        <w:rPr>
          <w:rFonts w:ascii="仿宋_GB2312" w:hAnsi="仿宋_GB2312" w:eastAsia="仿宋_GB2312"/>
          <w:b w:val="0"/>
          <w:sz w:val="32"/>
        </w:rPr>
        <w:t>1.教育支出（类）职业教育（款）中等职业教育（项）：支出决算数为219.96万元，比上年决算增加2.20万元，增长1.01%，主要原因是：年初结转中职助学金相关资金本年执行支出，较上年支出略有增加。</w:t>
      </w:r>
    </w:p>
    <w:p w14:paraId="4CD7072F">
      <w:pPr>
        <w:spacing w:line="580" w:lineRule="exact"/>
        <w:ind w:firstLine="640"/>
        <w:jc w:val="both"/>
      </w:pPr>
      <w:r>
        <w:rPr>
          <w:rFonts w:ascii="仿宋_GB2312" w:hAnsi="仿宋_GB2312" w:eastAsia="仿宋_GB2312"/>
          <w:b w:val="0"/>
          <w:sz w:val="32"/>
        </w:rPr>
        <w:t>2.教育支出（类）职业教育（款）技校教育（项）：支出决算数为161.76万元，比上年决算增加39.70万元，增长32.52%，主要原因是：本年技工学生增加，技校教育相关教学、实训及学生补助相应增长。</w:t>
      </w:r>
    </w:p>
    <w:p w14:paraId="2D972147">
      <w:pPr>
        <w:spacing w:line="580" w:lineRule="exact"/>
        <w:ind w:firstLine="640"/>
        <w:jc w:val="both"/>
      </w:pPr>
      <w:r>
        <w:rPr>
          <w:rFonts w:ascii="仿宋_GB2312" w:hAnsi="仿宋_GB2312" w:eastAsia="仿宋_GB2312"/>
          <w:b w:val="0"/>
          <w:sz w:val="32"/>
        </w:rPr>
        <w:t>3.教育支出（类）职业教育（款）高等职业教育（项）：支出决算数为12,279.97万元，比上年决算增加1,309.68万元，增长11.94%，主要原因是：一是原自治区干部疗养院和自治区劳动就业培训中心机构改革合并至我校，人员增加，相应支出有所增长；二是年初结转高等职业教育相关项目资金本年形成实际支出；三是年中财政追加新疆人才发展基金“天山英才”培养计划资金以及自治区驻村工作队员南疆补贴、工作经费等专项资金。</w:t>
      </w:r>
    </w:p>
    <w:p w14:paraId="06218D03">
      <w:pPr>
        <w:spacing w:line="580" w:lineRule="exact"/>
        <w:ind w:firstLine="640"/>
        <w:jc w:val="both"/>
      </w:pPr>
      <w:r>
        <w:rPr>
          <w:rFonts w:ascii="仿宋_GB2312" w:hAnsi="仿宋_GB2312" w:eastAsia="仿宋_GB2312"/>
          <w:b w:val="0"/>
          <w:sz w:val="32"/>
        </w:rPr>
        <w:t>4.社会保障和就业支出（类）人力资源和社会保障管理事务（款）就业管理事务（项）：支出决算数为7.04万元，比上年决算减少4.92万元，下降41.14%，主要原因是：本年减少天山英才培养计划项目资金。</w:t>
      </w:r>
    </w:p>
    <w:p w14:paraId="4EEEBB27">
      <w:pPr>
        <w:spacing w:line="580" w:lineRule="exact"/>
        <w:ind w:firstLine="640"/>
        <w:jc w:val="both"/>
      </w:pPr>
      <w:r>
        <w:rPr>
          <w:rFonts w:ascii="仿宋_GB2312" w:hAnsi="仿宋_GB2312" w:eastAsia="仿宋_GB2312"/>
          <w:b w:val="0"/>
          <w:sz w:val="32"/>
        </w:rPr>
        <w:t>5.社会保障和就业支出（类）人力资源和社会保障管理事务（款）其他人力资源和社会保障管理事务支出（项）：支出决算数为35.68万元，比上年决算减少4,960.07万元，下降99.29%，主要原因是：受业务调整影响，财政下达的自治区就业补助资金减少。</w:t>
      </w:r>
    </w:p>
    <w:p w14:paraId="23F91CEB">
      <w:pPr>
        <w:spacing w:line="640" w:lineRule="exact"/>
        <w:ind w:firstLine="640"/>
        <w:jc w:val="both"/>
        <w:outlineLvl w:val="2"/>
      </w:pPr>
      <w:r>
        <w:rPr>
          <w:rFonts w:ascii="黑体" w:hAnsi="黑体" w:eastAsia="黑体"/>
          <w:sz w:val="32"/>
        </w:rPr>
        <w:t>六、一般公共预算财政拨款基本支出决算情况说明</w:t>
      </w:r>
    </w:p>
    <w:p w14:paraId="1FAAEBB8">
      <w:pPr>
        <w:spacing w:line="580" w:lineRule="exact"/>
        <w:ind w:firstLine="640"/>
        <w:jc w:val="both"/>
      </w:pPr>
      <w:r>
        <w:rPr>
          <w:rFonts w:ascii="仿宋_GB2312" w:hAnsi="仿宋_GB2312" w:eastAsia="仿宋_GB2312"/>
          <w:b w:val="0"/>
          <w:sz w:val="32"/>
        </w:rPr>
        <w:t>2025年度一般公共预算财政拨款基本支出8,829.70万元，其中：</w:t>
      </w:r>
      <w:r>
        <w:rPr>
          <w:rFonts w:ascii="仿宋_GB2312" w:hAnsi="仿宋_GB2312" w:eastAsia="仿宋_GB2312"/>
          <w:b/>
          <w:sz w:val="32"/>
        </w:rPr>
        <w:t>人员经费7,959.40万元，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14:paraId="7DD5FDCE">
      <w:pPr>
        <w:spacing w:line="580" w:lineRule="exact"/>
        <w:ind w:firstLine="640"/>
        <w:jc w:val="both"/>
      </w:pPr>
      <w:r>
        <w:rPr>
          <w:rFonts w:ascii="仿宋_GB2312" w:hAnsi="仿宋_GB2312" w:eastAsia="仿宋_GB2312"/>
          <w:b/>
          <w:sz w:val="32"/>
        </w:rPr>
        <w:t>公用经费870.30万元，</w:t>
      </w:r>
      <w:r>
        <w:rPr>
          <w:rFonts w:ascii="仿宋_GB2312" w:hAnsi="仿宋_GB2312" w:eastAsia="仿宋_GB2312"/>
          <w:b w:val="0"/>
          <w:sz w:val="32"/>
        </w:rPr>
        <w:t>包括：办公费、水费、邮电费、取暖费、差旅费、因公出国（境）费用、公务接待费、工会经费、福利费、公务用车运行维护费、其他商品和服务支出。</w:t>
      </w:r>
    </w:p>
    <w:p w14:paraId="39D8D150">
      <w:pPr>
        <w:spacing w:line="640" w:lineRule="exact"/>
        <w:ind w:firstLine="640"/>
        <w:jc w:val="both"/>
        <w:outlineLvl w:val="2"/>
      </w:pPr>
      <w:r>
        <w:rPr>
          <w:rFonts w:ascii="黑体" w:hAnsi="黑体" w:eastAsia="黑体"/>
          <w:sz w:val="32"/>
        </w:rPr>
        <w:t>七、政府性基金预算财政拨款收入支出决算情况说明</w:t>
      </w:r>
    </w:p>
    <w:p w14:paraId="1698892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8A00F8D">
      <w:pPr>
        <w:spacing w:line="640" w:lineRule="exact"/>
        <w:ind w:firstLine="640"/>
        <w:jc w:val="both"/>
        <w:outlineLvl w:val="2"/>
      </w:pPr>
      <w:r>
        <w:rPr>
          <w:rFonts w:ascii="黑体" w:hAnsi="黑体" w:eastAsia="黑体"/>
          <w:sz w:val="32"/>
        </w:rPr>
        <w:t>八、国有资本经营预算财政拨款收入支出决算情况说明</w:t>
      </w:r>
    </w:p>
    <w:p w14:paraId="3CAFC72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1E1CF6E">
      <w:pPr>
        <w:spacing w:line="640" w:lineRule="exact"/>
        <w:ind w:firstLine="640"/>
        <w:jc w:val="both"/>
        <w:outlineLvl w:val="2"/>
      </w:pPr>
      <w:r>
        <w:rPr>
          <w:rFonts w:ascii="黑体" w:hAnsi="黑体" w:eastAsia="黑体"/>
          <w:sz w:val="32"/>
        </w:rPr>
        <w:t>九、财政拨款“三公”经费支出决算情况说明</w:t>
      </w:r>
    </w:p>
    <w:p w14:paraId="7FB29403">
      <w:pPr>
        <w:spacing w:line="580" w:lineRule="exact"/>
        <w:ind w:firstLine="640"/>
        <w:jc w:val="both"/>
      </w:pPr>
      <w:r>
        <w:rPr>
          <w:rFonts w:ascii="仿宋_GB2312" w:hAnsi="仿宋_GB2312" w:eastAsia="仿宋_GB2312"/>
          <w:b/>
          <w:sz w:val="32"/>
        </w:rPr>
        <w:t>2025年度财政拨款“三公”经费支出13.37万元，</w:t>
      </w:r>
      <w:r>
        <w:rPr>
          <w:rFonts w:ascii="仿宋_GB2312" w:hAnsi="仿宋_GB2312" w:eastAsia="仿宋_GB2312"/>
          <w:b w:val="0"/>
          <w:sz w:val="32"/>
        </w:rPr>
        <w:t>比上年增加0.00万元，增长0.00%，主要原因是：本单位财政拨款“三公”经费与上年一致无变化。其中：因公出国（境）费用支出1.75万元，占13.09%，比上年增加1.75万元，增长100.00%，主要原因是：上年无因公出国（境）任务，本年度安排1批2人次因公出国（境），增加出国经费支出。公务用车购置及运行维护费支出10.72万元，占80.18%，比上年减少1.75万元，下降14.03%，主要原因是：根据业务需求调剂，减少公务用车运行。公务接待费支出0.90万元，占6.73%，比上年增加0.00万元，增长0.00%，主要原因是：本单位公务接待费与上年一致无变化。</w:t>
      </w:r>
    </w:p>
    <w:p w14:paraId="6A32597D">
      <w:pPr>
        <w:spacing w:line="580" w:lineRule="exact"/>
        <w:ind w:firstLine="640"/>
        <w:jc w:val="both"/>
      </w:pPr>
      <w:r>
        <w:rPr>
          <w:rFonts w:ascii="仿宋_GB2312" w:hAnsi="仿宋_GB2312" w:eastAsia="仿宋_GB2312"/>
          <w:b/>
          <w:sz w:val="32"/>
        </w:rPr>
        <w:t>具体情况如下：</w:t>
      </w:r>
    </w:p>
    <w:p w14:paraId="16056CB3">
      <w:pPr>
        <w:spacing w:line="580" w:lineRule="exact"/>
        <w:ind w:firstLine="640"/>
        <w:jc w:val="both"/>
      </w:pPr>
      <w:r>
        <w:rPr>
          <w:rFonts w:ascii="仿宋_GB2312" w:hAnsi="仿宋_GB2312" w:eastAsia="仿宋_GB2312"/>
          <w:b w:val="0"/>
          <w:sz w:val="32"/>
        </w:rPr>
        <w:t>因公出国（境）费用1.75万元，开支内容包括国外城市间交通费、住宿费、伙食费、公杂费。单位全年安排的因公出国（境）团组1个，因公出国（境）2人次。</w:t>
      </w:r>
    </w:p>
    <w:p w14:paraId="4BF81F20">
      <w:pPr>
        <w:spacing w:line="580" w:lineRule="exact"/>
        <w:ind w:firstLine="640"/>
        <w:jc w:val="both"/>
      </w:pPr>
      <w:r>
        <w:rPr>
          <w:rFonts w:ascii="仿宋_GB2312" w:hAnsi="仿宋_GB2312" w:eastAsia="仿宋_GB2312"/>
          <w:b w:val="0"/>
          <w:sz w:val="32"/>
        </w:rPr>
        <w:t>公务用车购置及运行维护费10.72万元，其中：公务用车购置费0.00万元，公务用车运行维护费10.72万元。公务用车运行维护费开支内容包括燃料费、维修费、保险费等。公务用车购置数0辆，公务用车保有量20辆。国有资产占用情况中固定资产车辆20辆，与公务用车保有量差异原因是：本单位公务用车保有量与固定资产车辆一致无差异。</w:t>
      </w:r>
    </w:p>
    <w:p w14:paraId="25626D94">
      <w:pPr>
        <w:spacing w:line="580" w:lineRule="exact"/>
        <w:ind w:firstLine="640"/>
        <w:jc w:val="both"/>
      </w:pPr>
      <w:r>
        <w:rPr>
          <w:rFonts w:ascii="仿宋_GB2312" w:hAnsi="仿宋_GB2312" w:eastAsia="仿宋_GB2312"/>
          <w:b w:val="0"/>
          <w:sz w:val="32"/>
        </w:rPr>
        <w:t>公务接待费0.90万元，开支内容包括国家相关部委等调研、业务交流、专项检查等公务活动发生的伙食费等接待支出。单位全年安排的国内公务接待12批次，225人次。</w:t>
      </w:r>
    </w:p>
    <w:p w14:paraId="7236046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13.37万元，决算数13.37万元，预决算差异率0.00%，主要原因是：严格按照预算执行，预决算无差异。其中：因公出国（境）费用全年预算数1.75万元，决算数1.75万元，预决算差异率0.00%，主要原因是：严格按照预算执行，预决算无差异。公务用车购置费全年预算数0.00万元，决算数0.00万元，预决算差异率0.00%，主要原因是：本单位无公务用车购置费。公务用车运行维护费全年预算数10.72万元，决算数10.72万元，预决算差异率0.00%，主要原因是：严格按照预算执行，预决算无差异。公务接待费全年预算数0.90万元，决算数0.90万元，预决算差异率0.00%，主要原因是：严格按照预算执行，预决算无差异。</w:t>
      </w:r>
    </w:p>
    <w:p w14:paraId="127A0E75">
      <w:pPr>
        <w:spacing w:line="640" w:lineRule="exact"/>
        <w:ind w:firstLine="640"/>
        <w:jc w:val="both"/>
        <w:outlineLvl w:val="2"/>
      </w:pPr>
      <w:r>
        <w:rPr>
          <w:rFonts w:ascii="黑体" w:hAnsi="黑体" w:eastAsia="黑体"/>
          <w:sz w:val="32"/>
        </w:rPr>
        <w:t>十、其他重要事项的情况说明</w:t>
      </w:r>
    </w:p>
    <w:p w14:paraId="498A6D4B">
      <w:pPr>
        <w:spacing w:line="640" w:lineRule="exact"/>
        <w:ind w:firstLine="640"/>
        <w:jc w:val="both"/>
        <w:outlineLvl w:val="3"/>
      </w:pPr>
      <w:r>
        <w:rPr>
          <w:rFonts w:ascii="楷体_GB2312" w:hAnsi="楷体_GB2312" w:eastAsia="楷体_GB2312"/>
          <w:b/>
          <w:sz w:val="32"/>
        </w:rPr>
        <w:t>（一）机关运行经费及公用经费支出情况</w:t>
      </w:r>
    </w:p>
    <w:p w14:paraId="41A06737">
      <w:pPr>
        <w:spacing w:line="580" w:lineRule="exact"/>
        <w:ind w:firstLine="640"/>
        <w:jc w:val="both"/>
      </w:pPr>
      <w:r>
        <w:rPr>
          <w:rFonts w:ascii="仿宋_GB2312" w:hAnsi="仿宋_GB2312" w:eastAsia="仿宋_GB2312"/>
          <w:b w:val="0"/>
          <w:sz w:val="32"/>
        </w:rPr>
        <w:t>2025年度新疆铁道职业技术学院（事业单位）公用经费支出870.30万元，比上年增加122.18万元，增长16.33%，主要原因是：机构改革相关单位并入我校，人员规模扩大，办学保障业务增加，公用经费支出相应有所增长。</w:t>
      </w:r>
    </w:p>
    <w:p w14:paraId="2EC48218">
      <w:pPr>
        <w:spacing w:line="640" w:lineRule="exact"/>
        <w:ind w:firstLine="640"/>
        <w:jc w:val="both"/>
        <w:outlineLvl w:val="3"/>
      </w:pPr>
      <w:r>
        <w:rPr>
          <w:rFonts w:ascii="楷体_GB2312" w:hAnsi="楷体_GB2312" w:eastAsia="楷体_GB2312"/>
          <w:b/>
          <w:sz w:val="32"/>
        </w:rPr>
        <w:t>（二）政府采购情况</w:t>
      </w:r>
    </w:p>
    <w:p w14:paraId="35707DB7">
      <w:pPr>
        <w:spacing w:line="580" w:lineRule="exact"/>
        <w:ind w:firstLine="640"/>
        <w:jc w:val="both"/>
      </w:pPr>
      <w:r>
        <w:rPr>
          <w:rFonts w:ascii="仿宋_GB2312" w:hAnsi="仿宋_GB2312" w:eastAsia="仿宋_GB2312"/>
          <w:b w:val="0"/>
          <w:sz w:val="32"/>
        </w:rPr>
        <w:t>2025年度政府采购支出总额6,291.08万元，其中：政府采购货物支出5,579.59万元、政府采购工程支出711.49万元、政府采购服务支出0.00万元。</w:t>
      </w:r>
    </w:p>
    <w:p w14:paraId="14C4727C">
      <w:pPr>
        <w:spacing w:line="580" w:lineRule="exact"/>
        <w:ind w:firstLine="640"/>
        <w:jc w:val="both"/>
      </w:pPr>
      <w:r>
        <w:rPr>
          <w:rFonts w:ascii="仿宋_GB2312" w:hAnsi="仿宋_GB2312" w:eastAsia="仿宋_GB2312"/>
          <w:b w:val="0"/>
          <w:sz w:val="32"/>
        </w:rPr>
        <w:t>授予中小企业合同金额4,207.15万元，占政府采购支出总额的66.87%，其中：授予小微企业合同金额2,524.55万元，占政府采购支出总额的40.13%。</w:t>
      </w:r>
    </w:p>
    <w:p w14:paraId="484F0669">
      <w:pPr>
        <w:spacing w:line="640" w:lineRule="exact"/>
        <w:ind w:firstLine="640"/>
        <w:jc w:val="both"/>
        <w:outlineLvl w:val="3"/>
      </w:pPr>
      <w:r>
        <w:rPr>
          <w:rFonts w:ascii="楷体_GB2312" w:hAnsi="楷体_GB2312" w:eastAsia="楷体_GB2312"/>
          <w:b/>
          <w:sz w:val="32"/>
        </w:rPr>
        <w:t>（三）国有资产占用情况说明</w:t>
      </w:r>
    </w:p>
    <w:p w14:paraId="7F0DC1CA">
      <w:pPr>
        <w:spacing w:line="580" w:lineRule="exact"/>
        <w:ind w:firstLine="640"/>
        <w:jc w:val="both"/>
      </w:pPr>
      <w:r>
        <w:rPr>
          <w:rFonts w:ascii="仿宋_GB2312" w:hAnsi="仿宋_GB2312" w:eastAsia="仿宋_GB2312"/>
          <w:b w:val="0"/>
          <w:sz w:val="32"/>
        </w:rPr>
        <w:t>截至2025年12月31日，房屋101,722.59平方米，价值7,603.91万元。车辆20辆，价值422.68万元，其中：副部（省）级及以上领导用车0辆、主要负责人用车0辆、机要通信用车0辆、应急保障用车0辆、执法执勤用车0辆、特种专业技术用车0辆、离退休干部服务用车0辆、其他用车20辆，其他用车主要是：一般公务用车。单价100万元（含）以上设备（不含车辆）41台（套）。</w:t>
      </w:r>
    </w:p>
    <w:p w14:paraId="2BE0601F">
      <w:pPr>
        <w:spacing w:line="640" w:lineRule="exact"/>
        <w:ind w:firstLine="640"/>
        <w:jc w:val="both"/>
        <w:outlineLvl w:val="2"/>
      </w:pPr>
      <w:r>
        <w:rPr>
          <w:rFonts w:ascii="黑体" w:hAnsi="黑体" w:eastAsia="黑体"/>
          <w:sz w:val="32"/>
        </w:rPr>
        <w:t>十一、预算绩效的情况说明</w:t>
      </w:r>
    </w:p>
    <w:p w14:paraId="67C9C1AA">
      <w:pPr>
        <w:spacing w:line="580" w:lineRule="exact"/>
        <w:ind w:firstLine="640"/>
        <w:jc w:val="both"/>
      </w:pPr>
      <w:r>
        <w:rPr>
          <w:rFonts w:ascii="仿宋_GB2312" w:hAnsi="仿宋_GB2312" w:eastAsia="仿宋_GB2312"/>
          <w:b w:val="0"/>
          <w:sz w:val="32"/>
        </w:rPr>
        <w:t>根据预算绩效管理要求，本单位预算绩效评价项目1个，全年预算数4,500.00万元，全年执行数4,500.00万元。预算绩效管理取得的成效：1、全面增强学校基础能力建设，进一步提升学校综合办学实力和核心竞争力，为自治区铁路及乌鲁木齐市轨道交通的发展提供强有力的技能型人才支撑，为新疆轨道交通及经济建设做出贡献，对构建和谐社会维护新疆稳定发挥积极的作用。2、学校通过开展各类技能大赛，在广大师生中掀起一股学习技能的良好风气，实现通过大赛锻炼队伍，提升师生素质的目标。在今后的工作中我们将不断总结经验，以培养一支适应我区人才强区战略目标需要的高技能人才队伍而继续努力。3、保障学校的教学设备及房屋建筑物设施使用正常；保障学校办学顺利进行。发现的问题及原因：一是教学设备老旧，招生增多后教室、实训场地等条件跟不上，有待改善；二是内部管理制度执行不严、监督不到位，需进一步加强。下一步改进措施：一是健全各类项目管理制度，把单位内部管钱、管物、管人的规矩和办法立起来、执行到位，对每一笔资金从哪里来、怎么用、用得安不安全都盯紧看牢，做到有章可循、有据可查，确保项目管理效率不断提高；二是加强对项目资金使用的日常监督，健全内部审计职能、配齐配强审计力量，让国有资金既安全又能用出实效，同时把财政跟踪、决算公开、项目评审等机制建立完善起来，以预算管理和决算审批为抓手，严格审批程序，对违反规定的行为严肃处理、绝不姑息。具体附项目支出绩效自评表。</w:t>
      </w:r>
    </w:p>
    <w:p w14:paraId="76BE839E">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BCF523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FBCB9F1">
            <w:pPr>
              <w:spacing w:before="0" w:after="0" w:line="240" w:lineRule="auto"/>
              <w:jc w:val="center"/>
            </w:pPr>
            <w:r>
              <w:rPr>
                <w:rFonts w:ascii="宋体" w:hAnsi="宋体" w:eastAsia="宋体"/>
                <w:b/>
                <w:i w:val="0"/>
                <w:sz w:val="32"/>
              </w:rPr>
              <w:t>项目支出绩效自评表</w:t>
            </w:r>
          </w:p>
        </w:tc>
      </w:tr>
      <w:tr w14:paraId="31A9CB4F">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ED172DB">
            <w:pPr>
              <w:spacing w:before="0" w:after="0" w:line="240" w:lineRule="auto"/>
              <w:jc w:val="center"/>
            </w:pPr>
            <w:r>
              <w:rPr>
                <w:rFonts w:ascii="宋体" w:hAnsi="宋体" w:eastAsia="宋体"/>
                <w:b w:val="0"/>
                <w:i w:val="0"/>
                <w:sz w:val="22"/>
              </w:rPr>
              <w:t>(2025年度)</w:t>
            </w:r>
          </w:p>
        </w:tc>
      </w:tr>
      <w:tr w14:paraId="36D3994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A05EF">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CA84833">
            <w:pPr>
              <w:spacing w:before="0" w:after="0" w:line="240" w:lineRule="auto"/>
              <w:jc w:val="center"/>
            </w:pPr>
            <w:r>
              <w:rPr>
                <w:rFonts w:ascii="宋体" w:hAnsi="宋体" w:eastAsia="宋体"/>
                <w:b w:val="0"/>
                <w:i w:val="0"/>
                <w:sz w:val="18"/>
              </w:rPr>
              <w:t>非财政</w:t>
            </w:r>
            <w:bookmarkStart w:id="0" w:name="_GoBack"/>
            <w:bookmarkEnd w:id="0"/>
            <w:r>
              <w:rPr>
                <w:rFonts w:ascii="宋体" w:hAnsi="宋体" w:eastAsia="宋体"/>
                <w:b w:val="0"/>
                <w:i w:val="0"/>
                <w:sz w:val="18"/>
              </w:rPr>
              <w:t>拨款项目</w:t>
            </w:r>
          </w:p>
        </w:tc>
      </w:tr>
      <w:tr w14:paraId="46745F1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10F0D">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C5C0B1">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D1BC6">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A11850">
            <w:pPr>
              <w:spacing w:before="0" w:after="0" w:line="240" w:lineRule="auto"/>
              <w:jc w:val="center"/>
            </w:pPr>
            <w:r>
              <w:rPr>
                <w:rFonts w:ascii="宋体" w:hAnsi="宋体" w:eastAsia="宋体"/>
                <w:b w:val="0"/>
                <w:i w:val="0"/>
                <w:sz w:val="18"/>
              </w:rPr>
              <w:t>新疆铁道职业技术学院</w:t>
            </w:r>
          </w:p>
        </w:tc>
      </w:tr>
      <w:tr w14:paraId="49BE3FE2">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B0567">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B649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D7EC01">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F6E8D">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71EE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9A640">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0382F">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CF67A">
            <w:pPr>
              <w:spacing w:before="0" w:after="0" w:line="240" w:lineRule="auto"/>
              <w:jc w:val="center"/>
            </w:pPr>
            <w:r>
              <w:rPr>
                <w:rFonts w:ascii="宋体" w:hAnsi="宋体" w:eastAsia="宋体"/>
                <w:b/>
                <w:i w:val="0"/>
                <w:sz w:val="18"/>
              </w:rPr>
              <w:t>得分</w:t>
            </w:r>
          </w:p>
        </w:tc>
      </w:tr>
      <w:tr w14:paraId="22DEC70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46B7EF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D6A1F">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6E4787">
            <w:pPr>
              <w:spacing w:before="0" w:after="0" w:line="240" w:lineRule="auto"/>
              <w:jc w:val="center"/>
            </w:pPr>
            <w:r>
              <w:rPr>
                <w:rFonts w:ascii="宋体" w:hAnsi="宋体" w:eastAsia="宋体"/>
                <w:b w:val="0"/>
                <w:i w:val="0"/>
                <w:sz w:val="18"/>
              </w:rPr>
              <w:t>4,500.00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C3969">
            <w:pPr>
              <w:spacing w:before="0" w:after="0" w:line="240" w:lineRule="auto"/>
              <w:jc w:val="center"/>
            </w:pPr>
            <w:r>
              <w:rPr>
                <w:rFonts w:ascii="宋体" w:hAnsi="宋体" w:eastAsia="宋体"/>
                <w:b w:val="0"/>
                <w:i w:val="0"/>
                <w:sz w:val="18"/>
              </w:rPr>
              <w:t>4,500.00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3CD2B">
            <w:pPr>
              <w:spacing w:before="0" w:after="0" w:line="240" w:lineRule="auto"/>
              <w:jc w:val="center"/>
            </w:pPr>
            <w:r>
              <w:rPr>
                <w:rFonts w:ascii="宋体" w:hAnsi="宋体" w:eastAsia="宋体"/>
                <w:b w:val="0"/>
                <w:i w:val="0"/>
                <w:sz w:val="18"/>
              </w:rPr>
              <w:t>4,500.00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FBCA9">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C7AA2">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84FD3">
            <w:pPr>
              <w:spacing w:before="0" w:after="0" w:line="240" w:lineRule="auto"/>
              <w:jc w:val="center"/>
            </w:pPr>
            <w:r>
              <w:rPr>
                <w:rFonts w:ascii="宋体" w:hAnsi="宋体" w:eastAsia="宋体"/>
                <w:b w:val="0"/>
                <w:i w:val="0"/>
                <w:sz w:val="18"/>
              </w:rPr>
              <w:t>10.00</w:t>
            </w:r>
          </w:p>
        </w:tc>
      </w:tr>
      <w:tr w14:paraId="46B13D6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EF2C46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A9E53">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3E8E4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0C35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7B4D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B46B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8820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62ABF">
            <w:pPr>
              <w:spacing w:before="0" w:after="0" w:line="240" w:lineRule="auto"/>
              <w:jc w:val="center"/>
            </w:pPr>
            <w:r>
              <w:rPr>
                <w:rFonts w:ascii="宋体" w:hAnsi="宋体" w:eastAsia="宋体"/>
                <w:b w:val="0"/>
                <w:i w:val="0"/>
                <w:sz w:val="18"/>
              </w:rPr>
              <w:t>-</w:t>
            </w:r>
          </w:p>
        </w:tc>
      </w:tr>
      <w:tr w14:paraId="7AD65AD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8AD812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C6DC9">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9BE41F">
            <w:pPr>
              <w:spacing w:before="0" w:after="0" w:line="240" w:lineRule="auto"/>
              <w:jc w:val="center"/>
            </w:pPr>
            <w:r>
              <w:rPr>
                <w:rFonts w:ascii="宋体" w:hAnsi="宋体" w:eastAsia="宋体"/>
                <w:b w:val="0"/>
                <w:i w:val="0"/>
                <w:sz w:val="18"/>
              </w:rPr>
              <w:t>4,500.00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87E18">
            <w:pPr>
              <w:spacing w:before="0" w:after="0" w:line="240" w:lineRule="auto"/>
              <w:jc w:val="center"/>
            </w:pPr>
            <w:r>
              <w:rPr>
                <w:rFonts w:ascii="宋体" w:hAnsi="宋体" w:eastAsia="宋体"/>
                <w:b w:val="0"/>
                <w:i w:val="0"/>
                <w:sz w:val="18"/>
              </w:rPr>
              <w:t>4,500.00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0728D">
            <w:pPr>
              <w:spacing w:before="0" w:after="0" w:line="240" w:lineRule="auto"/>
              <w:jc w:val="center"/>
            </w:pPr>
            <w:r>
              <w:rPr>
                <w:rFonts w:ascii="宋体" w:hAnsi="宋体" w:eastAsia="宋体"/>
                <w:b w:val="0"/>
                <w:i w:val="0"/>
                <w:sz w:val="18"/>
              </w:rPr>
              <w:t>4,500.00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C18A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C62B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7AEE8E">
            <w:pPr>
              <w:spacing w:before="0" w:after="0" w:line="240" w:lineRule="auto"/>
              <w:jc w:val="center"/>
            </w:pPr>
            <w:r>
              <w:rPr>
                <w:rFonts w:ascii="宋体" w:hAnsi="宋体" w:eastAsia="宋体"/>
                <w:b w:val="0"/>
                <w:i w:val="0"/>
                <w:sz w:val="18"/>
              </w:rPr>
              <w:t>-</w:t>
            </w:r>
          </w:p>
        </w:tc>
      </w:tr>
      <w:tr w14:paraId="186B392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555C3">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965BD6">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41AE6A">
            <w:pPr>
              <w:spacing w:before="0" w:after="0" w:line="240" w:lineRule="auto"/>
              <w:jc w:val="center"/>
            </w:pPr>
            <w:r>
              <w:rPr>
                <w:rFonts w:ascii="宋体" w:hAnsi="宋体" w:eastAsia="宋体"/>
                <w:b/>
                <w:i w:val="0"/>
                <w:sz w:val="18"/>
              </w:rPr>
              <w:t>实际完成情况</w:t>
            </w:r>
          </w:p>
        </w:tc>
      </w:tr>
      <w:tr w14:paraId="37A946AA">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3C68F7"/>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ABC02C">
            <w:pPr>
              <w:spacing w:before="0" w:after="0" w:line="240" w:lineRule="auto"/>
              <w:jc w:val="center"/>
            </w:pPr>
            <w:r>
              <w:rPr>
                <w:rFonts w:ascii="宋体" w:hAnsi="宋体" w:eastAsia="宋体"/>
                <w:b w:val="0"/>
                <w:i w:val="0"/>
                <w:sz w:val="18"/>
              </w:rPr>
              <w:t>"1、全面增强学校基础能力建设，进一步提升学校综合办学实力和核心竞争力，为自治区铁路及乌鲁木齐市轨道交通的发展提供强有力的技能型人才支撑，为新疆轨道交通及经济建设做出贡献，对构建和谐社会维护新疆稳定发挥积极的作用。 
2、学校通过开展各类技能大赛，在广大师生中掀起一股学习技能的良好风气，实现通过大赛锻炼队伍，提升师生素质的目标。在今后的工作中我们将不断总结经验，以培养一支适应我区人才强区战略目标需要的高技能人才队伍而继续努力。
3、保障学校的教学设备及房屋建筑物设施使用正常；保障学校办学顺利进行。"</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751B57">
            <w:pPr>
              <w:spacing w:before="0" w:after="0" w:line="240" w:lineRule="auto"/>
              <w:jc w:val="center"/>
            </w:pPr>
            <w:r>
              <w:rPr>
                <w:rFonts w:ascii="宋体" w:hAnsi="宋体" w:eastAsia="宋体"/>
                <w:b w:val="0"/>
                <w:i w:val="0"/>
                <w:sz w:val="18"/>
              </w:rPr>
              <w:t>通过本项目的实施1、全面增强学校基础能力建设，进一步提升学校综合办学实力和核心竞争力，为自治区铁路及乌鲁木齐市轨道交通的发展提供强有力的技能型人才支撑，为新疆轨道交通及经济建设做出贡献，对构建和谐社会维护新疆稳定发挥积极的作用。 2、学校通过开展各类技能大赛，在广大师生中掀起一股学习技能的良好风气，实现通过大赛锻炼队伍，提升师生素质的目标。在今后的工作中我们将不断总结经验，以培养一支适应我区人才强区战略目标需要的高技能人才队伍而继续努力。 3、保障学校的教学设备及房屋建筑物设施使用正常；保障学校办学顺利进行。</w:t>
            </w:r>
          </w:p>
        </w:tc>
      </w:tr>
      <w:tr w14:paraId="14472F5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E384F">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92285">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D8DB5C">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F5355">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1CCB2">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953EA">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6B44E">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CD7C6">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3E019">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32094">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6F2C3">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D5DE6">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2FA42">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06438">
            <w:pPr>
              <w:spacing w:before="0" w:after="0" w:line="240" w:lineRule="auto"/>
              <w:jc w:val="center"/>
            </w:pPr>
            <w:r>
              <w:rPr>
                <w:rFonts w:ascii="宋体" w:hAnsi="宋体" w:eastAsia="宋体"/>
                <w:b/>
                <w:i w:val="0"/>
                <w:sz w:val="18"/>
              </w:rPr>
              <w:t>偏差原因分析及改进措施</w:t>
            </w:r>
          </w:p>
        </w:tc>
      </w:tr>
      <w:tr w14:paraId="2C5DE272">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0D11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7A53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4A2B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A169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3B13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A059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F55A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2745C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E4CFF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A551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A1D8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869A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F679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511D22"/>
        </w:tc>
      </w:tr>
      <w:tr w14:paraId="415CE55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AC8B2D">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E7831">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350D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9A579">
            <w:pPr>
              <w:spacing w:before="0" w:after="0" w:line="240" w:lineRule="auto"/>
              <w:jc w:val="center"/>
            </w:pPr>
            <w:r>
              <w:rPr>
                <w:rFonts w:ascii="宋体" w:hAnsi="宋体" w:eastAsia="宋体"/>
                <w:b w:val="0"/>
                <w:i w:val="0"/>
                <w:sz w:val="18"/>
              </w:rPr>
              <w:t>保障办公人员数量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3DDA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2686A1">
            <w:pPr>
              <w:spacing w:before="0" w:after="0" w:line="240" w:lineRule="auto"/>
              <w:jc w:val="center"/>
            </w:pPr>
            <w:r>
              <w:rPr>
                <w:rFonts w:ascii="宋体" w:hAnsi="宋体" w:eastAsia="宋体"/>
                <w:b w:val="0"/>
                <w:i w:val="0"/>
                <w:sz w:val="18"/>
              </w:rPr>
              <w:t>=380人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A627F">
            <w:pPr>
              <w:spacing w:before="0" w:after="0" w:line="240" w:lineRule="auto"/>
              <w:jc w:val="center"/>
            </w:pPr>
            <w:r>
              <w:rPr>
                <w:rFonts w:ascii="宋体" w:hAnsi="宋体" w:eastAsia="宋体"/>
                <w:b w:val="0"/>
                <w:i w:val="0"/>
                <w:sz w:val="18"/>
              </w:rPr>
              <w:t>=380人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5059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3F37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9CB9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A9139">
            <w:pPr>
              <w:spacing w:before="0" w:after="0" w:line="240" w:lineRule="auto"/>
              <w:jc w:val="center"/>
            </w:pPr>
            <w:r>
              <w:rPr>
                <w:rFonts w:ascii="宋体" w:hAnsi="宋体" w:eastAsia="宋体"/>
                <w:b w:val="0"/>
                <w:i w:val="0"/>
                <w:sz w:val="18"/>
              </w:rPr>
              <w:t>731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5FDFC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4BFE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474B75">
            <w:pPr>
              <w:spacing w:before="0" w:after="0" w:line="240" w:lineRule="auto"/>
              <w:jc w:val="center"/>
            </w:pPr>
          </w:p>
        </w:tc>
      </w:tr>
      <w:tr w14:paraId="5E04EB4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BFD0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8B350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63FE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B899E7">
            <w:pPr>
              <w:spacing w:before="0" w:after="0" w:line="240" w:lineRule="auto"/>
              <w:jc w:val="center"/>
            </w:pPr>
            <w:r>
              <w:rPr>
                <w:rFonts w:ascii="宋体" w:hAnsi="宋体" w:eastAsia="宋体"/>
                <w:b w:val="0"/>
                <w:i w:val="0"/>
                <w:sz w:val="18"/>
              </w:rPr>
              <w:t>保障学校办学场地数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205D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9A104">
            <w:pPr>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38292F">
            <w:pPr>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9E30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53E28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4AE6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FAA8C">
            <w:pPr>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6DBE6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06B0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920A48">
            <w:pPr>
              <w:spacing w:before="0" w:after="0" w:line="240" w:lineRule="auto"/>
              <w:jc w:val="center"/>
            </w:pPr>
          </w:p>
        </w:tc>
      </w:tr>
      <w:tr w14:paraId="6F5A211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46B5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D598F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BBE39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A83CFD">
            <w:pPr>
              <w:spacing w:before="0" w:after="0" w:line="240" w:lineRule="auto"/>
              <w:jc w:val="center"/>
            </w:pPr>
            <w:r>
              <w:rPr>
                <w:rFonts w:ascii="宋体" w:hAnsi="宋体" w:eastAsia="宋体"/>
                <w:b w:val="0"/>
                <w:i w:val="0"/>
                <w:sz w:val="18"/>
              </w:rPr>
              <w:t>困难学生补助人数（人）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FFAA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8D6D67">
            <w:pPr>
              <w:spacing w:before="0" w:after="0" w:line="240" w:lineRule="auto"/>
              <w:jc w:val="center"/>
            </w:pPr>
            <w:r>
              <w:rPr>
                <w:rFonts w:ascii="宋体" w:hAnsi="宋体" w:eastAsia="宋体"/>
                <w:b w:val="0"/>
                <w:i w:val="0"/>
                <w:sz w:val="18"/>
              </w:rPr>
              <w:t>&gt;=2000人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2CBAA">
            <w:pPr>
              <w:spacing w:before="0" w:after="0" w:line="240" w:lineRule="auto"/>
              <w:jc w:val="center"/>
            </w:pPr>
            <w:r>
              <w:rPr>
                <w:rFonts w:ascii="宋体" w:hAnsi="宋体" w:eastAsia="宋体"/>
                <w:b w:val="0"/>
                <w:i w:val="0"/>
                <w:sz w:val="18"/>
              </w:rPr>
              <w:t>=2000人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FD83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7CF4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A2B1B3">
            <w:pPr>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2DD6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E29A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09C00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995DEF">
            <w:pPr>
              <w:spacing w:before="0" w:after="0" w:line="240" w:lineRule="auto"/>
              <w:jc w:val="center"/>
            </w:pPr>
          </w:p>
        </w:tc>
      </w:tr>
      <w:tr w14:paraId="766679B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2C6D9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112AF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8830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BF4F4">
            <w:pPr>
              <w:spacing w:before="0" w:after="0" w:line="240" w:lineRule="auto"/>
              <w:jc w:val="center"/>
            </w:pPr>
            <w:r>
              <w:rPr>
                <w:rFonts w:ascii="宋体" w:hAnsi="宋体" w:eastAsia="宋体"/>
                <w:b w:val="0"/>
                <w:i w:val="0"/>
                <w:sz w:val="18"/>
              </w:rPr>
              <w:t>购买办公家具类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606F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93643">
            <w:pPr>
              <w:spacing w:before="0" w:after="0" w:line="240" w:lineRule="auto"/>
              <w:jc w:val="center"/>
            </w:pPr>
            <w:r>
              <w:rPr>
                <w:rFonts w:ascii="宋体" w:hAnsi="宋体" w:eastAsia="宋体"/>
                <w:b w:val="0"/>
                <w:i w:val="0"/>
                <w:sz w:val="18"/>
              </w:rPr>
              <w:t>=15731件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A583FA">
            <w:pPr>
              <w:spacing w:before="0" w:after="0" w:line="240" w:lineRule="auto"/>
              <w:jc w:val="center"/>
            </w:pPr>
            <w:r>
              <w:rPr>
                <w:rFonts w:ascii="宋体" w:hAnsi="宋体" w:eastAsia="宋体"/>
                <w:b w:val="0"/>
                <w:i w:val="0"/>
                <w:sz w:val="18"/>
              </w:rPr>
              <w:t>=15731件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60B2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0DE73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271007">
            <w:pPr>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99EB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D0716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EA0F6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5311E8">
            <w:pPr>
              <w:spacing w:before="0" w:after="0" w:line="240" w:lineRule="auto"/>
              <w:jc w:val="center"/>
            </w:pPr>
          </w:p>
        </w:tc>
      </w:tr>
      <w:tr w14:paraId="2402084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3F36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92955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8DDD2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2995B">
            <w:pPr>
              <w:spacing w:before="0" w:after="0" w:line="240" w:lineRule="auto"/>
              <w:jc w:val="center"/>
            </w:pPr>
            <w:r>
              <w:rPr>
                <w:rFonts w:ascii="宋体" w:hAnsi="宋体" w:eastAsia="宋体"/>
                <w:b w:val="0"/>
                <w:i w:val="0"/>
                <w:sz w:val="18"/>
              </w:rPr>
              <w:t>保障学校面积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F224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58B47">
            <w:pPr>
              <w:spacing w:before="0" w:after="0" w:line="240" w:lineRule="auto"/>
              <w:jc w:val="center"/>
            </w:pPr>
            <w:r>
              <w:rPr>
                <w:rFonts w:ascii="宋体" w:hAnsi="宋体" w:eastAsia="宋体"/>
                <w:b w:val="0"/>
                <w:i w:val="0"/>
                <w:sz w:val="18"/>
              </w:rPr>
              <w:t>=940亩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34C171">
            <w:pPr>
              <w:spacing w:before="0" w:after="0" w:line="240" w:lineRule="auto"/>
              <w:jc w:val="center"/>
            </w:pPr>
            <w:r>
              <w:rPr>
                <w:rFonts w:ascii="宋体" w:hAnsi="宋体" w:eastAsia="宋体"/>
                <w:b w:val="0"/>
                <w:i w:val="0"/>
                <w:sz w:val="18"/>
              </w:rPr>
              <w:t>=940亩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6572A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3DAF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BB84FD">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FE86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089D6">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70A37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12F6B">
            <w:pPr>
              <w:spacing w:before="0" w:after="0" w:line="240" w:lineRule="auto"/>
              <w:jc w:val="center"/>
            </w:pPr>
          </w:p>
        </w:tc>
      </w:tr>
      <w:tr w14:paraId="032D02D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4C387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BA050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5B1FA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C25AA">
            <w:pPr>
              <w:spacing w:before="0" w:after="0" w:line="240" w:lineRule="auto"/>
              <w:jc w:val="center"/>
            </w:pPr>
            <w:r>
              <w:rPr>
                <w:rFonts w:ascii="宋体" w:hAnsi="宋体" w:eastAsia="宋体"/>
                <w:b w:val="0"/>
                <w:i w:val="0"/>
                <w:sz w:val="18"/>
              </w:rPr>
              <w:t>购买办公用品验收合格率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26714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1DDDCF">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27D9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3F4B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56B0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FFE7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99B7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956D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2ABE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E49F9">
            <w:pPr>
              <w:spacing w:before="0" w:after="0" w:line="240" w:lineRule="auto"/>
              <w:jc w:val="center"/>
            </w:pPr>
          </w:p>
        </w:tc>
      </w:tr>
      <w:tr w14:paraId="26B17FE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3261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1E73D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2C88F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CAFDDD">
            <w:pPr>
              <w:spacing w:before="0" w:after="0" w:line="240" w:lineRule="auto"/>
              <w:jc w:val="center"/>
            </w:pPr>
            <w:r>
              <w:rPr>
                <w:rFonts w:ascii="宋体" w:hAnsi="宋体" w:eastAsia="宋体"/>
                <w:b w:val="0"/>
                <w:i w:val="0"/>
                <w:sz w:val="18"/>
              </w:rPr>
              <w:t>保障学校正常运转率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72A12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12173">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8CB706">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07EC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2C711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D387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4AA66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5445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29D8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7641D">
            <w:pPr>
              <w:spacing w:before="0" w:after="0" w:line="240" w:lineRule="auto"/>
              <w:jc w:val="center"/>
            </w:pPr>
          </w:p>
        </w:tc>
      </w:tr>
      <w:tr w14:paraId="25885D1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94C2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34BDA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2BBB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BD3B9">
            <w:pPr>
              <w:spacing w:before="0" w:after="0" w:line="240" w:lineRule="auto"/>
              <w:jc w:val="center"/>
            </w:pPr>
            <w:r>
              <w:rPr>
                <w:rFonts w:ascii="宋体" w:hAnsi="宋体" w:eastAsia="宋体"/>
                <w:b w:val="0"/>
                <w:i w:val="0"/>
                <w:sz w:val="18"/>
              </w:rPr>
              <w:t>绩效工资发放时间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84D7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20F052">
            <w:pPr>
              <w:spacing w:before="0" w:after="0" w:line="240" w:lineRule="auto"/>
              <w:jc w:val="center"/>
            </w:pPr>
            <w:r>
              <w:rPr>
                <w:rFonts w:ascii="宋体" w:hAnsi="宋体" w:eastAsia="宋体"/>
                <w:b w:val="0"/>
                <w:i w:val="0"/>
                <w:sz w:val="18"/>
              </w:rPr>
              <w:t>每月</w:t>
            </w:r>
            <w:r>
              <w:rPr>
                <w:rFonts w:hint="eastAsia" w:ascii="宋体" w:hAnsi="宋体"/>
                <w:b w:val="0"/>
                <w:i w:val="0"/>
                <w:sz w:val="18"/>
                <w:lang w:eastAsia="zh-CN"/>
              </w:rPr>
              <w:t>20日</w:t>
            </w:r>
            <w:r>
              <w:rPr>
                <w:rFonts w:ascii="宋体" w:hAnsi="宋体" w:eastAsia="宋体"/>
                <w:b w:val="0"/>
                <w:i w:val="0"/>
                <w:sz w:val="18"/>
              </w:rPr>
              <w:t>之前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8B332">
            <w:pPr>
              <w:spacing w:before="0" w:after="0" w:line="240" w:lineRule="auto"/>
              <w:jc w:val="center"/>
            </w:pPr>
            <w:r>
              <w:rPr>
                <w:rFonts w:ascii="宋体" w:hAnsi="宋体" w:eastAsia="宋体"/>
                <w:b w:val="0"/>
                <w:i w:val="0"/>
                <w:sz w:val="18"/>
              </w:rPr>
              <w:t>每月</w:t>
            </w:r>
            <w:r>
              <w:rPr>
                <w:rFonts w:hint="eastAsia" w:ascii="宋体" w:hAnsi="宋体"/>
                <w:b w:val="0"/>
                <w:i w:val="0"/>
                <w:sz w:val="18"/>
                <w:lang w:eastAsia="zh-CN"/>
              </w:rPr>
              <w:t>20日</w:t>
            </w:r>
            <w:r>
              <w:rPr>
                <w:rFonts w:ascii="宋体" w:hAnsi="宋体" w:eastAsia="宋体"/>
                <w:b w:val="0"/>
                <w:i w:val="0"/>
                <w:sz w:val="18"/>
              </w:rPr>
              <w:t>之前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E0FE7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0B13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EDB5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0B00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9F6E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17C5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6D3A4B">
            <w:pPr>
              <w:spacing w:before="0" w:after="0" w:line="240" w:lineRule="auto"/>
              <w:jc w:val="center"/>
            </w:pPr>
          </w:p>
        </w:tc>
      </w:tr>
      <w:tr w14:paraId="2E75834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0133B3"/>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69D1F">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AB1F6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303456">
            <w:pPr>
              <w:spacing w:before="0" w:after="0" w:line="240" w:lineRule="auto"/>
              <w:jc w:val="center"/>
            </w:pPr>
            <w:r>
              <w:rPr>
                <w:rFonts w:ascii="宋体" w:hAnsi="宋体" w:eastAsia="宋体"/>
                <w:b w:val="0"/>
                <w:i w:val="0"/>
                <w:sz w:val="18"/>
              </w:rPr>
              <w:t>发放绩效工资人员标准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1BBEE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20EF82">
            <w:pPr>
              <w:spacing w:before="0" w:after="0" w:line="240" w:lineRule="auto"/>
              <w:jc w:val="center"/>
            </w:pPr>
            <w:r>
              <w:rPr>
                <w:rFonts w:ascii="宋体" w:hAnsi="宋体" w:eastAsia="宋体"/>
                <w:b w:val="0"/>
                <w:i w:val="0"/>
                <w:sz w:val="18"/>
              </w:rPr>
              <w:t>&lt;=2.70万元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9BEF42">
            <w:pPr>
              <w:spacing w:before="0" w:after="0" w:line="240" w:lineRule="auto"/>
              <w:jc w:val="center"/>
            </w:pPr>
            <w:r>
              <w:rPr>
                <w:rFonts w:ascii="宋体" w:hAnsi="宋体" w:eastAsia="宋体"/>
                <w:b w:val="0"/>
                <w:i w:val="0"/>
                <w:sz w:val="18"/>
              </w:rPr>
              <w:t>=2.7万元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B3C4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26BA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1152AB">
            <w:pPr>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F0B22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2D24B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6890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D35BF">
            <w:pPr>
              <w:spacing w:before="0" w:after="0" w:line="240" w:lineRule="auto"/>
              <w:jc w:val="center"/>
            </w:pPr>
          </w:p>
        </w:tc>
      </w:tr>
      <w:tr w14:paraId="5425C29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7A2A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D70BB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421E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615805">
            <w:pPr>
              <w:spacing w:before="0" w:after="0" w:line="240" w:lineRule="auto"/>
              <w:jc w:val="center"/>
            </w:pPr>
            <w:r>
              <w:rPr>
                <w:rFonts w:ascii="宋体" w:hAnsi="宋体" w:eastAsia="宋体"/>
                <w:b w:val="0"/>
                <w:i w:val="0"/>
                <w:sz w:val="18"/>
              </w:rPr>
              <w:t>物业缴费标准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297A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529585">
            <w:pPr>
              <w:spacing w:before="0" w:after="0" w:line="240" w:lineRule="auto"/>
              <w:jc w:val="center"/>
            </w:pPr>
            <w:r>
              <w:rPr>
                <w:rFonts w:ascii="宋体" w:hAnsi="宋体" w:eastAsia="宋体"/>
                <w:b w:val="0"/>
                <w:i w:val="0"/>
                <w:sz w:val="18"/>
              </w:rPr>
              <w:t>=3295元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F7EA1C">
            <w:pPr>
              <w:spacing w:before="0" w:after="0" w:line="240" w:lineRule="auto"/>
              <w:jc w:val="center"/>
            </w:pPr>
            <w:r>
              <w:rPr>
                <w:rFonts w:ascii="宋体" w:hAnsi="宋体" w:eastAsia="宋体"/>
                <w:b w:val="0"/>
                <w:i w:val="0"/>
                <w:sz w:val="18"/>
              </w:rPr>
              <w:t>=3295元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31EC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E8BF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1240B">
            <w:pPr>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D8254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4D6C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C03D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AF6C3">
            <w:pPr>
              <w:spacing w:before="0" w:after="0" w:line="240" w:lineRule="auto"/>
              <w:jc w:val="center"/>
            </w:pPr>
          </w:p>
        </w:tc>
      </w:tr>
      <w:tr w14:paraId="7DC1625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0F7D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2F787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1635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95BB0">
            <w:pPr>
              <w:spacing w:before="0" w:after="0" w:line="240" w:lineRule="auto"/>
              <w:jc w:val="center"/>
            </w:pPr>
            <w:r>
              <w:rPr>
                <w:rFonts w:ascii="宋体" w:hAnsi="宋体" w:eastAsia="宋体"/>
                <w:b w:val="0"/>
                <w:i w:val="0"/>
                <w:sz w:val="18"/>
              </w:rPr>
              <w:t>暖气费收费标准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6EB4A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F801D">
            <w:pPr>
              <w:spacing w:before="0" w:after="0" w:line="240" w:lineRule="auto"/>
              <w:jc w:val="center"/>
            </w:pPr>
            <w:r>
              <w:rPr>
                <w:rFonts w:ascii="宋体" w:hAnsi="宋体" w:eastAsia="宋体"/>
                <w:b w:val="0"/>
                <w:i w:val="0"/>
                <w:sz w:val="18"/>
              </w:rPr>
              <w:t>&lt;=28.50元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1496E">
            <w:pPr>
              <w:spacing w:before="0" w:after="0" w:line="240" w:lineRule="auto"/>
              <w:jc w:val="center"/>
            </w:pPr>
            <w:r>
              <w:rPr>
                <w:rFonts w:ascii="宋体" w:hAnsi="宋体" w:eastAsia="宋体"/>
                <w:b w:val="0"/>
                <w:i w:val="0"/>
                <w:sz w:val="18"/>
              </w:rPr>
              <w:t>=28.5元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31E03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D83DA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C8FEA0">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54644">
            <w:pPr>
              <w:spacing w:before="0" w:after="0" w:line="240" w:lineRule="auto"/>
              <w:jc w:val="center"/>
            </w:pPr>
            <w:r>
              <w:rPr>
                <w:rFonts w:ascii="宋体" w:hAnsi="宋体" w:eastAsia="宋体"/>
                <w:b w:val="0"/>
                <w:i w:val="0"/>
                <w:sz w:val="18"/>
              </w:rPr>
              <w:t>28.44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1EB7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E007A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B6B2E">
            <w:pPr>
              <w:spacing w:before="0" w:after="0" w:line="240" w:lineRule="auto"/>
              <w:jc w:val="center"/>
            </w:pPr>
          </w:p>
        </w:tc>
      </w:tr>
      <w:tr w14:paraId="48B919F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07DD0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3BB4E">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D6AD5C">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B5F24">
            <w:pPr>
              <w:spacing w:before="0" w:after="0" w:line="240" w:lineRule="auto"/>
              <w:jc w:val="center"/>
            </w:pPr>
            <w:r>
              <w:rPr>
                <w:rFonts w:ascii="宋体" w:hAnsi="宋体" w:eastAsia="宋体"/>
                <w:b w:val="0"/>
                <w:i w:val="0"/>
                <w:sz w:val="18"/>
              </w:rPr>
              <w:t>提升学校综合办学实力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24B5CD">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94D78">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938CB5">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7CB1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241B5E">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CB34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1A1B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0304F">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03764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73DE0">
            <w:pPr>
              <w:spacing w:before="0" w:after="0" w:line="240" w:lineRule="auto"/>
              <w:jc w:val="center"/>
            </w:pPr>
          </w:p>
        </w:tc>
      </w:tr>
      <w:tr w14:paraId="531ED44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704E3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098D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66A3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1AB2A">
            <w:pPr>
              <w:spacing w:before="0" w:after="0" w:line="240" w:lineRule="auto"/>
              <w:jc w:val="center"/>
            </w:pPr>
            <w:r>
              <w:rPr>
                <w:rFonts w:ascii="宋体" w:hAnsi="宋体" w:eastAsia="宋体"/>
                <w:b w:val="0"/>
                <w:i w:val="0"/>
                <w:sz w:val="18"/>
              </w:rPr>
              <w:t>教职工满意度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54B6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77BE3">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A05D95">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D941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F340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F904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8B9EE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57121">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C0824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8D4160">
            <w:pPr>
              <w:spacing w:before="0" w:after="0" w:line="240" w:lineRule="auto"/>
              <w:jc w:val="center"/>
            </w:pPr>
          </w:p>
        </w:tc>
      </w:tr>
      <w:tr w14:paraId="001DF81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43CB1D">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9BF11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B85F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9B6DA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0BE6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1E731">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E0F2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33A6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3A583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5D3BA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C3C7F">
            <w:pPr>
              <w:spacing w:before="0" w:after="0" w:line="240" w:lineRule="auto"/>
              <w:jc w:val="center"/>
            </w:pPr>
          </w:p>
        </w:tc>
      </w:tr>
    </w:tbl>
    <w:p w14:paraId="26117544">
      <w:r>
        <w:br w:type="page"/>
      </w:r>
    </w:p>
    <w:p w14:paraId="3CF19DC0">
      <w:pPr>
        <w:sectPr>
          <w:pgSz w:w="11906" w:h="16838"/>
          <w:pgMar w:top="1440" w:right="1800" w:bottom="1440" w:left="1800" w:header="851" w:footer="992" w:gutter="0"/>
          <w:cols w:space="720" w:num="1"/>
          <w:docGrid w:type="lines" w:linePitch="312" w:charSpace="0"/>
        </w:sectPr>
      </w:pPr>
    </w:p>
    <w:p w14:paraId="43A4951C">
      <w:pPr>
        <w:spacing w:line="640" w:lineRule="exact"/>
        <w:ind w:firstLine="640"/>
        <w:jc w:val="both"/>
        <w:outlineLvl w:val="2"/>
      </w:pPr>
      <w:r>
        <w:rPr>
          <w:rFonts w:ascii="黑体" w:hAnsi="黑体" w:eastAsia="黑体"/>
          <w:sz w:val="32"/>
        </w:rPr>
        <w:t>十二、其他需说明的事项</w:t>
      </w:r>
    </w:p>
    <w:p w14:paraId="18F53A13">
      <w:pPr>
        <w:spacing w:line="580" w:lineRule="exact"/>
        <w:ind w:firstLine="640"/>
        <w:jc w:val="both"/>
      </w:pPr>
      <w:r>
        <w:rPr>
          <w:rFonts w:ascii="仿宋_GB2312" w:hAnsi="仿宋_GB2312" w:eastAsia="仿宋_GB2312"/>
          <w:b w:val="0"/>
          <w:sz w:val="32"/>
        </w:rPr>
        <w:t>本单位无其他需说明的事项。</w:t>
      </w:r>
    </w:p>
    <w:p w14:paraId="7B4590F5">
      <w:r>
        <w:br w:type="page"/>
      </w:r>
    </w:p>
    <w:p w14:paraId="3B514A13">
      <w:pPr>
        <w:spacing w:line="600" w:lineRule="exact"/>
        <w:jc w:val="center"/>
        <w:outlineLvl w:val="0"/>
      </w:pPr>
      <w:r>
        <w:rPr>
          <w:rFonts w:ascii="黑体" w:hAnsi="黑体" w:eastAsia="黑体"/>
          <w:sz w:val="32"/>
        </w:rPr>
        <w:t>第三部分 专业名词解释</w:t>
      </w:r>
    </w:p>
    <w:p w14:paraId="0A76A6A6">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BE20B8B">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7B5AC5">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8120146">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4CD6FA">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435EAEA">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C2427FE">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22A1BAC0">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3A467F56">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098B21AB">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4CC31D0">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1B7FD5B">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0299349A">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B70D23B">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0D39C97">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4D9589E">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F7DECB4">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6875C38">
      <w:r>
        <w:br w:type="page"/>
      </w:r>
    </w:p>
    <w:p w14:paraId="2B9C9ACE">
      <w:pPr>
        <w:spacing w:line="240" w:lineRule="auto"/>
        <w:jc w:val="center"/>
        <w:outlineLvl w:val="1"/>
      </w:pPr>
      <w:r>
        <w:rPr>
          <w:rFonts w:ascii="黑体" w:hAnsi="黑体" w:eastAsia="黑体"/>
          <w:sz w:val="32"/>
        </w:rPr>
        <w:t>第四部分 部门决算报表（见附表）</w:t>
      </w:r>
    </w:p>
    <w:p w14:paraId="5F9FD93A">
      <w:pPr>
        <w:autoSpaceDE w:val="0"/>
        <w:autoSpaceDN w:val="0"/>
        <w:spacing w:line="600" w:lineRule="exact"/>
        <w:ind w:firstLine="640" w:firstLineChars="200"/>
      </w:pPr>
      <w:r>
        <w:rPr>
          <w:rFonts w:ascii="仿宋_GB2312" w:hAnsi="仿宋_GB2312" w:eastAsia="仿宋_GB2312"/>
          <w:b w:val="0"/>
          <w:sz w:val="32"/>
        </w:rPr>
        <w:t>一、《收入支出决算总表》</w:t>
      </w:r>
    </w:p>
    <w:p w14:paraId="4AB5200B">
      <w:pPr>
        <w:autoSpaceDE w:val="0"/>
        <w:autoSpaceDN w:val="0"/>
        <w:spacing w:line="600" w:lineRule="exact"/>
        <w:ind w:firstLine="640" w:firstLineChars="200"/>
      </w:pPr>
      <w:r>
        <w:rPr>
          <w:rFonts w:ascii="仿宋_GB2312" w:hAnsi="仿宋_GB2312" w:eastAsia="仿宋_GB2312"/>
          <w:b w:val="0"/>
          <w:sz w:val="32"/>
        </w:rPr>
        <w:t>二、《收入决算表》</w:t>
      </w:r>
    </w:p>
    <w:p w14:paraId="01F40902">
      <w:pPr>
        <w:autoSpaceDE w:val="0"/>
        <w:autoSpaceDN w:val="0"/>
        <w:spacing w:line="600" w:lineRule="exact"/>
        <w:ind w:firstLine="640" w:firstLineChars="200"/>
      </w:pPr>
      <w:r>
        <w:rPr>
          <w:rFonts w:ascii="仿宋_GB2312" w:hAnsi="仿宋_GB2312" w:eastAsia="仿宋_GB2312"/>
          <w:b w:val="0"/>
          <w:sz w:val="32"/>
        </w:rPr>
        <w:t>三、《支出决算表》</w:t>
      </w:r>
    </w:p>
    <w:p w14:paraId="3EDC22E1">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10B7322E">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BBEC98F">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8022A6B">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49B31600">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B6DF5EE">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01B63F32">
      <w:pPr>
        <w:autoSpaceDE w:val="0"/>
        <w:autoSpaceDN w:val="0"/>
        <w:spacing w:line="600" w:lineRule="exact"/>
        <w:ind w:firstLine="640" w:firstLineChars="200"/>
      </w:pPr>
    </w:p>
    <w:p w14:paraId="365B456B">
      <w:pPr>
        <w:autoSpaceDE w:val="0"/>
        <w:autoSpaceDN w:val="0"/>
        <w:spacing w:line="600" w:lineRule="exact"/>
        <w:ind w:firstLine="640" w:firstLineChars="200"/>
      </w:pPr>
    </w:p>
    <w:p w14:paraId="206C20AC">
      <w:pPr>
        <w:autoSpaceDE w:val="0"/>
        <w:autoSpaceDN w:val="0"/>
        <w:spacing w:line="600" w:lineRule="exact"/>
        <w:ind w:firstLine="640" w:firstLineChars="200"/>
      </w:pPr>
    </w:p>
    <w:p w14:paraId="29F2F190">
      <w:pPr>
        <w:autoSpaceDE w:val="0"/>
        <w:autoSpaceDN w:val="0"/>
        <w:spacing w:line="600" w:lineRule="exact"/>
        <w:ind w:firstLine="640" w:firstLineChars="200"/>
      </w:pPr>
    </w:p>
    <w:p w14:paraId="3ACEEE82">
      <w:pPr>
        <w:autoSpaceDE w:val="0"/>
        <w:autoSpaceDN w:val="0"/>
        <w:spacing w:line="600" w:lineRule="exact"/>
        <w:ind w:firstLine="640" w:firstLineChars="20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5D48CF1-3E15-4B05-89A4-144A2B3911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769E26D-7126-4AB7-BFDB-A0AE02739E91}"/>
  </w:font>
  <w:font w:name="仿宋_GB2312">
    <w:panose1 w:val="02010609030101010101"/>
    <w:charset w:val="86"/>
    <w:family w:val="modern"/>
    <w:pitch w:val="default"/>
    <w:sig w:usb0="00000001" w:usb1="080E0000" w:usb2="00000000" w:usb3="00000000" w:csb0="00040000" w:csb1="00000000"/>
    <w:embedRegular r:id="rId3" w:fontKey="{CA47CADE-F940-4EC7-8531-1956966648DA}"/>
  </w:font>
  <w:font w:name="楷体_GB2312">
    <w:altName w:val="楷体"/>
    <w:panose1 w:val="00000000000000000000"/>
    <w:charset w:val="00"/>
    <w:family w:val="auto"/>
    <w:pitch w:val="default"/>
    <w:sig w:usb0="00000000" w:usb1="00000000" w:usb2="00000000" w:usb3="00000000" w:csb0="00000000" w:csb1="00000000"/>
    <w:embedRegular r:id="rId4" w:fontKey="{C46BDF6C-6C0C-4314-B012-A0836BFF696C}"/>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5116CEE"/>
    <w:rsid w:val="464B7E04"/>
    <w:rsid w:val="46901EEE"/>
    <w:rsid w:val="469C74D2"/>
    <w:rsid w:val="47445515"/>
    <w:rsid w:val="48E21116"/>
    <w:rsid w:val="49C97D5C"/>
    <w:rsid w:val="49F5131D"/>
    <w:rsid w:val="4AE426AE"/>
    <w:rsid w:val="4B4C0111"/>
    <w:rsid w:val="4D3F1CC6"/>
    <w:rsid w:val="4D730311"/>
    <w:rsid w:val="505A358E"/>
    <w:rsid w:val="50DB5F45"/>
    <w:rsid w:val="51527FE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32625"/>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d455ef67-6964-442c-97ac-bf42064529e9</errorID>
      <errorWord>2月31日</errorWord>
      <group>L1_Sensitive</group>
      <groupName>敏感问题</groupName>
      <ability>L2_UserSensitive</ability>
      <abilityName>自定义敏感词</abilityName>
      <candidateList/>
      <explain>来自自定义敏感词库。</explain>
      <paraID>7F0DC1CA</paraID>
      <start>8</start>
      <end>13</end>
      <status>ignored</status>
      <modifiedWord/>
      <trackRevisions>false</trackRevisions>
    </reviewItem>
    <reviewItem>
      <errorID>fdc63525-b50a-4361-9862-1de3d0817050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20ABC02C</paraID>
      <start>109</start>
      <end>111</end>
      <status>ignored</status>
      <modifiedWord/>
      <trackRevisions>false</trackRevisions>
    </reviewItem>
    <reviewItem>
      <errorID>1e26f8b3-9d5b-4ac1-96aa-feda8aee058b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20ABC02C</paraID>
      <start>216</start>
      <end>218</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d9a14ff7-8bab-413e-b022-6d9588e268de}">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6007</Words>
  <Characters>6736</Characters>
  <Lines>10</Lines>
  <Paragraphs>2</Paragraphs>
  <TotalTime>0</TotalTime>
  <ScaleCrop>false</ScaleCrop>
  <LinksUpToDate>false</LinksUpToDate>
  <CharactersWithSpaces>6746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2026-09-01T08:45:23Z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