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新疆轻工职业技术学院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94BDF92">
      <w:r>
        <w:br w:type="page"/>
      </w:r>
    </w:p>
    <w:p w14:paraId="4D68180C">
      <w:pPr>
        <w:spacing w:line="640" w:lineRule="exact"/>
        <w:jc w:val="center"/>
        <w:outlineLvl w:val="1"/>
      </w:pPr>
      <w:r>
        <w:rPr>
          <w:rFonts w:ascii="黑体" w:hAnsi="黑体" w:eastAsia="黑体"/>
          <w:sz w:val="32"/>
        </w:rPr>
        <w:t>第一部分 单位概况</w:t>
      </w:r>
    </w:p>
    <w:p w14:paraId="30F000CA">
      <w:pPr>
        <w:spacing w:line="640" w:lineRule="exact"/>
        <w:ind w:firstLine="640"/>
        <w:jc w:val="both"/>
        <w:outlineLvl w:val="2"/>
      </w:pPr>
      <w:r>
        <w:rPr>
          <w:rFonts w:ascii="黑体" w:hAnsi="黑体" w:eastAsia="黑体"/>
          <w:sz w:val="32"/>
        </w:rPr>
        <w:t>一、主要职能</w:t>
      </w:r>
    </w:p>
    <w:p w14:paraId="3A6F1398">
      <w:pPr>
        <w:spacing w:line="580" w:lineRule="exact"/>
        <w:ind w:firstLine="640"/>
        <w:jc w:val="both"/>
      </w:pPr>
      <w:r>
        <w:rPr>
          <w:rFonts w:ascii="仿宋_GB2312" w:hAnsi="仿宋_GB2312" w:eastAsia="仿宋_GB2312"/>
          <w:sz w:val="32"/>
        </w:rPr>
        <w:t>(一)全面贯彻落实党中央决策部署，做好党建工作；强化党员干部教育管理，加强队伍建设；健全“三全育人”体系，培育和践行社会主义核心价值观，做好内外宣传工作，落实意识形态工作责任制；加强校园文化建设，开展文明校园创建；加强党风廉政建设。</w:t>
      </w:r>
    </w:p>
    <w:p w14:paraId="048957A4">
      <w:pPr>
        <w:spacing w:line="580" w:lineRule="exact"/>
        <w:ind w:firstLine="640"/>
        <w:jc w:val="both"/>
      </w:pPr>
      <w:r>
        <w:rPr>
          <w:rFonts w:ascii="仿宋_GB2312" w:hAnsi="仿宋_GB2312" w:eastAsia="仿宋_GB2312"/>
          <w:sz w:val="32"/>
        </w:rPr>
        <w:t>(二)贯彻落实国家、自治区教育教学相关政策，开展职业教育改革；按照人才培养方案组织教学活动；完善教学条件；强化师资队伍建设；开展质量工程建设。</w:t>
      </w:r>
    </w:p>
    <w:p w14:paraId="21391A13">
      <w:pPr>
        <w:spacing w:line="580" w:lineRule="exact"/>
        <w:ind w:firstLine="640"/>
        <w:jc w:val="both"/>
      </w:pPr>
      <w:r>
        <w:rPr>
          <w:rFonts w:ascii="仿宋_GB2312" w:hAnsi="仿宋_GB2312" w:eastAsia="仿宋_GB2312"/>
          <w:sz w:val="32"/>
        </w:rPr>
        <w:t>(三)贯彻落实国家、自治区相关政策；做好招生工作；强化学生管理队伍建设和学生日常管理与服务；加强学生党团建设，提升学生综合素质；开展创新创业、就业指导与服务等；做好学生奖助贷、兵役、保险等工作。</w:t>
      </w:r>
    </w:p>
    <w:p w14:paraId="2C2B83B7">
      <w:pPr>
        <w:spacing w:line="580" w:lineRule="exact"/>
        <w:ind w:firstLine="640"/>
        <w:jc w:val="both"/>
      </w:pPr>
      <w:r>
        <w:rPr>
          <w:rFonts w:ascii="仿宋_GB2312" w:hAnsi="仿宋_GB2312" w:eastAsia="仿宋_GB2312"/>
          <w:sz w:val="32"/>
        </w:rPr>
        <w:t>(四)负责开展教科研活动、职业技能培训和社会服务；做好帮扶其他职业院校工作；开展扶贫(支教)与内地高校新疆籍学生管理等工作。</w:t>
      </w:r>
    </w:p>
    <w:p w14:paraId="5061E480">
      <w:pPr>
        <w:spacing w:line="580" w:lineRule="exact"/>
        <w:ind w:firstLine="640"/>
        <w:jc w:val="both"/>
      </w:pPr>
      <w:r>
        <w:rPr>
          <w:rFonts w:ascii="仿宋_GB2312" w:hAnsi="仿宋_GB2312" w:eastAsia="仿宋_GB2312"/>
          <w:sz w:val="32"/>
        </w:rPr>
        <w:t>(五)负责开展平安校园建设；加强“三防”建设，强化队伍建设；做好安全生产风险防控和综治维稳工作。</w:t>
      </w:r>
    </w:p>
    <w:p w14:paraId="37DF9D12">
      <w:pPr>
        <w:spacing w:line="580" w:lineRule="exact"/>
        <w:ind w:firstLine="640"/>
        <w:jc w:val="both"/>
      </w:pPr>
      <w:r>
        <w:rPr>
          <w:rFonts w:ascii="仿宋_GB2312" w:hAnsi="仿宋_GB2312" w:eastAsia="仿宋_GB2312"/>
          <w:sz w:val="32"/>
        </w:rPr>
        <w:t>(六)负责改善办学条件，靓化校园环境；做好后勤保障工作。</w:t>
      </w:r>
    </w:p>
    <w:p w14:paraId="03944B42">
      <w:pPr>
        <w:spacing w:line="580" w:lineRule="exact"/>
        <w:ind w:firstLine="640"/>
        <w:jc w:val="both"/>
      </w:pPr>
      <w:r>
        <w:rPr>
          <w:rFonts w:ascii="仿宋_GB2312" w:hAnsi="仿宋_GB2312" w:eastAsia="仿宋_GB2312"/>
          <w:sz w:val="32"/>
        </w:rPr>
        <w:t>(七)负责依法治校，校务公开，信访工作，综合事务服务，公务活动运转保障；完善发展规划；强化资产管理、出租房屋管理、聘用人员管理；做好群众工作，维护职工权益；完善激励机制，做好绩效考核。强化内控管理，保障学院正常运转。</w:t>
      </w:r>
    </w:p>
    <w:p w14:paraId="6CDAE817">
      <w:pPr>
        <w:spacing w:line="580" w:lineRule="exact"/>
        <w:ind w:firstLine="640"/>
        <w:jc w:val="both"/>
      </w:pPr>
      <w:r>
        <w:rPr>
          <w:rFonts w:ascii="仿宋_GB2312" w:hAnsi="仿宋_GB2312" w:eastAsia="仿宋_GB2312"/>
          <w:sz w:val="32"/>
        </w:rPr>
        <w:t>(八)负责质量保证，加强质量监控条件建设；强化队伍建设，完善质量保证体系；建立多元化评价机制，做好质量保证工作。</w:t>
      </w:r>
    </w:p>
    <w:p w14:paraId="4EC88ED2">
      <w:pPr>
        <w:spacing w:line="580" w:lineRule="exact"/>
        <w:ind w:firstLine="640"/>
        <w:jc w:val="both"/>
      </w:pPr>
      <w:r>
        <w:rPr>
          <w:rFonts w:ascii="仿宋_GB2312" w:hAnsi="仿宋_GB2312" w:eastAsia="仿宋_GB2312"/>
          <w:sz w:val="32"/>
        </w:rPr>
        <w:t>(九)负责对外交流合作，加强校企、校交流合作，丰富合作形式及载体；做好二产职教园区暨公共实训基地运行工作；深化国际交流，联合做好国际化人才培养工作；“走出去”、“引进来”，提升教师国际化视野和能力；拓展合作形式，丰富合作内容。</w:t>
      </w:r>
    </w:p>
    <w:p w14:paraId="149B2D00">
      <w:pPr>
        <w:spacing w:line="580" w:lineRule="exact"/>
        <w:ind w:firstLine="640"/>
        <w:jc w:val="both"/>
      </w:pPr>
      <w:r>
        <w:rPr>
          <w:rFonts w:ascii="仿宋_GB2312" w:hAnsi="仿宋_GB2312" w:eastAsia="仿宋_GB2312"/>
          <w:sz w:val="32"/>
        </w:rPr>
        <w:t>(十)完成自治区党委、自治区人民政府以及上级主管部门交办的其他任务。</w:t>
      </w:r>
    </w:p>
    <w:p w14:paraId="49563571">
      <w:pPr>
        <w:spacing w:line="640" w:lineRule="exact"/>
        <w:ind w:firstLine="640"/>
        <w:jc w:val="both"/>
        <w:outlineLvl w:val="2"/>
      </w:pPr>
      <w:r>
        <w:rPr>
          <w:rFonts w:ascii="黑体" w:hAnsi="黑体" w:eastAsia="黑体"/>
          <w:sz w:val="32"/>
        </w:rPr>
        <w:t>二、机构设置</w:t>
      </w:r>
    </w:p>
    <w:p w14:paraId="58E8243D">
      <w:pPr>
        <w:spacing w:line="580" w:lineRule="exact"/>
        <w:ind w:firstLine="640"/>
        <w:jc w:val="both"/>
      </w:pPr>
      <w:r>
        <w:rPr>
          <w:rFonts w:ascii="仿宋_GB2312" w:hAnsi="仿宋_GB2312" w:eastAsia="仿宋_GB2312"/>
          <w:sz w:val="32"/>
        </w:rPr>
        <w:t>新疆轻工职业技术学院无下属预算单位。</w:t>
      </w:r>
    </w:p>
    <w:p w14:paraId="3CC53629">
      <w:r>
        <w:br w:type="page"/>
      </w:r>
    </w:p>
    <w:p w14:paraId="61F4CE23">
      <w:pPr>
        <w:spacing w:line="240" w:lineRule="auto"/>
        <w:jc w:val="center"/>
        <w:outlineLvl w:val="1"/>
      </w:pPr>
      <w:r>
        <w:rPr>
          <w:rFonts w:ascii="黑体" w:hAnsi="黑体" w:eastAsia="黑体"/>
          <w:sz w:val="32"/>
        </w:rPr>
        <w:t>第二部分 部门决算情况说明</w:t>
      </w:r>
    </w:p>
    <w:p w14:paraId="6E068177">
      <w:pPr>
        <w:spacing w:line="640" w:lineRule="exact"/>
        <w:ind w:firstLine="640"/>
        <w:jc w:val="both"/>
        <w:outlineLvl w:val="2"/>
      </w:pPr>
      <w:r>
        <w:rPr>
          <w:rFonts w:ascii="黑体" w:hAnsi="黑体" w:eastAsia="黑体"/>
          <w:sz w:val="32"/>
        </w:rPr>
        <w:t>一、收入支出决算总体情况说明</w:t>
      </w:r>
    </w:p>
    <w:p w14:paraId="68E53E65">
      <w:pPr>
        <w:spacing w:line="580" w:lineRule="exact"/>
        <w:ind w:firstLine="640"/>
        <w:jc w:val="both"/>
      </w:pPr>
      <w:r>
        <w:rPr>
          <w:rFonts w:ascii="仿宋_GB2312" w:hAnsi="仿宋_GB2312" w:eastAsia="仿宋_GB2312"/>
          <w:b/>
          <w:sz w:val="32"/>
        </w:rPr>
        <w:t>2025年度收入总计52,316.50万元，</w:t>
      </w:r>
      <w:r>
        <w:rPr>
          <w:rFonts w:ascii="仿宋_GB2312" w:hAnsi="仿宋_GB2312" w:eastAsia="仿宋_GB2312"/>
          <w:b w:val="0"/>
          <w:sz w:val="32"/>
        </w:rPr>
        <w:t>其中：本年收入合计45,381.16万元，使用非财政拨款结余（含专用结余）0.00万元，年初结转和结余6,935.34万元。</w:t>
      </w:r>
    </w:p>
    <w:p w14:paraId="20DED43D">
      <w:pPr>
        <w:spacing w:line="580" w:lineRule="exact"/>
        <w:ind w:firstLine="640"/>
        <w:jc w:val="both"/>
      </w:pPr>
      <w:r>
        <w:rPr>
          <w:rFonts w:ascii="仿宋_GB2312" w:hAnsi="仿宋_GB2312" w:eastAsia="仿宋_GB2312"/>
          <w:b/>
          <w:sz w:val="32"/>
        </w:rPr>
        <w:t>2025年度支出总计52,316.50万元，</w:t>
      </w:r>
      <w:r>
        <w:rPr>
          <w:rFonts w:ascii="仿宋_GB2312" w:hAnsi="仿宋_GB2312" w:eastAsia="仿宋_GB2312"/>
          <w:b w:val="0"/>
          <w:sz w:val="32"/>
        </w:rPr>
        <w:t>其中：本年支出合计50,063.88万元，结余分配95.58万元，年末结转和结余2,157.04万元。</w:t>
      </w:r>
    </w:p>
    <w:p w14:paraId="14F0A97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8,562.80万元，增长19.57%，主要原因是：一是清缴以前年度欠款以及培训费，导致事业收入较上年增加。二是政府扶持资金以及校企支持资金、高校应用验证合作项目及其他院校联合培养资金等其他收入增加。三是2024年度产教融合实训基地项目结转至2025年度，导致经费较上年增加。四是单位整合，供销技师学院并入本单位，人员增加，人员经费及公用经费较上年增加。</w:t>
      </w:r>
    </w:p>
    <w:p w14:paraId="1679BC1A">
      <w:pPr>
        <w:spacing w:line="640" w:lineRule="exact"/>
        <w:ind w:firstLine="640"/>
        <w:jc w:val="both"/>
        <w:outlineLvl w:val="2"/>
      </w:pPr>
      <w:r>
        <w:rPr>
          <w:rFonts w:ascii="黑体" w:hAnsi="黑体" w:eastAsia="黑体"/>
          <w:sz w:val="32"/>
        </w:rPr>
        <w:t>二、收入决算情况说明</w:t>
      </w:r>
    </w:p>
    <w:p w14:paraId="5D89237A">
      <w:pPr>
        <w:spacing w:line="580" w:lineRule="exact"/>
        <w:ind w:firstLine="640"/>
        <w:jc w:val="both"/>
      </w:pPr>
      <w:r>
        <w:rPr>
          <w:rFonts w:ascii="仿宋_GB2312" w:hAnsi="仿宋_GB2312" w:eastAsia="仿宋_GB2312"/>
          <w:b/>
          <w:sz w:val="32"/>
        </w:rPr>
        <w:t>本年收入45,381.16万元，</w:t>
      </w:r>
      <w:r>
        <w:rPr>
          <w:rFonts w:ascii="仿宋_GB2312" w:hAnsi="仿宋_GB2312" w:eastAsia="仿宋_GB2312"/>
          <w:b w:val="0"/>
          <w:sz w:val="32"/>
        </w:rPr>
        <w:t>其中：财政拨款收入33,458.94万元，占73.73%；上级补助收入0.00万元，占0.00%；事业收入8,949.45万元，占19.72%；经营收入768.34万元，占1.69%；附属单位上缴收入0.00万元，占0.00%；其他收入2,204.42万元，占4.86%。</w:t>
      </w:r>
    </w:p>
    <w:p w14:paraId="79EF18F8">
      <w:pPr>
        <w:spacing w:line="640" w:lineRule="exact"/>
        <w:ind w:firstLine="640"/>
        <w:jc w:val="both"/>
        <w:outlineLvl w:val="2"/>
      </w:pPr>
      <w:r>
        <w:rPr>
          <w:rFonts w:ascii="黑体" w:hAnsi="黑体" w:eastAsia="黑体"/>
          <w:sz w:val="32"/>
        </w:rPr>
        <w:t>三、支出决算情况说明</w:t>
      </w:r>
    </w:p>
    <w:p w14:paraId="611D2495">
      <w:pPr>
        <w:spacing w:line="580" w:lineRule="exact"/>
        <w:ind w:firstLine="640"/>
        <w:jc w:val="both"/>
      </w:pPr>
      <w:r>
        <w:rPr>
          <w:rFonts w:ascii="仿宋_GB2312" w:hAnsi="仿宋_GB2312" w:eastAsia="仿宋_GB2312"/>
          <w:b/>
          <w:sz w:val="32"/>
        </w:rPr>
        <w:t>本年支出50,063.88万元，</w:t>
      </w:r>
      <w:r>
        <w:rPr>
          <w:rFonts w:ascii="仿宋_GB2312" w:hAnsi="仿宋_GB2312" w:eastAsia="仿宋_GB2312"/>
          <w:b w:val="0"/>
          <w:sz w:val="32"/>
        </w:rPr>
        <w:t>其中：基本支出31,401.87万元，占62.72%；项目支出17,989.25万元，占35.93%；上缴上级支出0.00万元，占0.00%；经营支出672.77万元，占1.34%；对附属单位补助支出0.00万元，占0.00%。</w:t>
      </w:r>
    </w:p>
    <w:p w14:paraId="11A1ED56">
      <w:pPr>
        <w:spacing w:line="640" w:lineRule="exact"/>
        <w:ind w:firstLine="640"/>
        <w:jc w:val="both"/>
        <w:outlineLvl w:val="2"/>
      </w:pPr>
      <w:r>
        <w:rPr>
          <w:rFonts w:ascii="黑体" w:hAnsi="黑体" w:eastAsia="黑体"/>
          <w:sz w:val="32"/>
        </w:rPr>
        <w:t>四、财政拨款收入支出决算总体情况说明</w:t>
      </w:r>
    </w:p>
    <w:p w14:paraId="6DD475C3">
      <w:pPr>
        <w:spacing w:line="580" w:lineRule="exact"/>
        <w:ind w:firstLine="640"/>
        <w:jc w:val="both"/>
      </w:pPr>
      <w:r>
        <w:rPr>
          <w:rFonts w:ascii="仿宋_GB2312" w:hAnsi="仿宋_GB2312" w:eastAsia="仿宋_GB2312"/>
          <w:b/>
          <w:sz w:val="32"/>
        </w:rPr>
        <w:t>2025年度财政拨款收入总计38,565.93万元，</w:t>
      </w:r>
      <w:r>
        <w:rPr>
          <w:rFonts w:ascii="仿宋_GB2312" w:hAnsi="仿宋_GB2312" w:eastAsia="仿宋_GB2312"/>
          <w:b w:val="0"/>
          <w:sz w:val="32"/>
        </w:rPr>
        <w:t>其中：年初财政拨款结转和结余5,106.99万元，本年财政拨款收入33,458.94万元。</w:t>
      </w:r>
      <w:r>
        <w:rPr>
          <w:rFonts w:ascii="仿宋_GB2312" w:hAnsi="仿宋_GB2312" w:eastAsia="仿宋_GB2312"/>
          <w:b/>
          <w:sz w:val="32"/>
        </w:rPr>
        <w:t>财政拨款支出总计38,565.93万元，</w:t>
      </w:r>
      <w:r>
        <w:rPr>
          <w:rFonts w:ascii="仿宋_GB2312" w:hAnsi="仿宋_GB2312" w:eastAsia="仿宋_GB2312"/>
          <w:b w:val="0"/>
          <w:sz w:val="32"/>
        </w:rPr>
        <w:t>其中：年末财政拨款结转和结余0.00万元，本年财政拨款支出38,565.93万元。</w:t>
      </w:r>
    </w:p>
    <w:p w14:paraId="1CD1FA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增加4,405.56万元，增长12.90%，主要原因是：单位整合，供销技师学院并入本单位，人员增加，人员经费及公用经费较上年增加。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32,023.09万元，决算数38,565.93万元，预决算差异率20.43%，主要原因是：单位整合，年中供销技师学院并入本单位，本年在职人员增加，年中追加人员经费及人员工资、社保、公积金基数调增部分资金，导致预决算存在差异。</w:t>
      </w:r>
    </w:p>
    <w:p w14:paraId="1C059EEC">
      <w:pPr>
        <w:spacing w:line="640" w:lineRule="exact"/>
        <w:ind w:firstLine="640"/>
        <w:jc w:val="both"/>
        <w:outlineLvl w:val="2"/>
      </w:pPr>
      <w:r>
        <w:rPr>
          <w:rFonts w:ascii="黑体" w:hAnsi="黑体" w:eastAsia="黑体"/>
          <w:sz w:val="32"/>
        </w:rPr>
        <w:t>五、一般公共预算财政拨款支出决算情况说明</w:t>
      </w:r>
    </w:p>
    <w:p w14:paraId="3211A85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教科研活动、职业技能培训和社会服务等重点支出，体现在有关支出科目中。</w:t>
      </w:r>
    </w:p>
    <w:p w14:paraId="748958E7">
      <w:pPr>
        <w:spacing w:line="580" w:lineRule="exact"/>
        <w:ind w:firstLine="640"/>
        <w:jc w:val="both"/>
      </w:pPr>
      <w:r>
        <w:rPr>
          <w:rFonts w:ascii="仿宋_GB2312" w:hAnsi="仿宋_GB2312" w:eastAsia="仿宋_GB2312"/>
          <w:b w:val="0"/>
          <w:sz w:val="32"/>
        </w:rPr>
        <w:t>按照支出功能分类，教育支出（类）职业教育（款）高等职业教育（项）的支出占本年财政拨款支出总额的比重最高，2025年度决算数为38,087.87万元，占比98.76%，主要用于人员工资福利，公用经费、项目支出等。</w:t>
      </w:r>
    </w:p>
    <w:p w14:paraId="2D56537A">
      <w:pPr>
        <w:spacing w:line="640" w:lineRule="exact"/>
        <w:ind w:firstLine="640"/>
        <w:jc w:val="both"/>
        <w:outlineLvl w:val="3"/>
      </w:pPr>
      <w:r>
        <w:rPr>
          <w:rFonts w:ascii="楷体_GB2312" w:hAnsi="楷体_GB2312" w:eastAsia="楷体_GB2312"/>
          <w:b/>
          <w:sz w:val="32"/>
        </w:rPr>
        <w:t>（一）一般公共预算财政拨款支出决算总体情况</w:t>
      </w:r>
    </w:p>
    <w:p w14:paraId="29976033">
      <w:pPr>
        <w:spacing w:line="580" w:lineRule="exact"/>
        <w:ind w:firstLine="640"/>
        <w:jc w:val="both"/>
      </w:pPr>
      <w:r>
        <w:rPr>
          <w:rFonts w:ascii="仿宋_GB2312" w:hAnsi="仿宋_GB2312" w:eastAsia="仿宋_GB2312"/>
          <w:b/>
          <w:sz w:val="32"/>
        </w:rPr>
        <w:t>2025年度一般公共预算财政拨款支出38,565.93万元，</w:t>
      </w:r>
      <w:r>
        <w:rPr>
          <w:rFonts w:ascii="仿宋_GB2312" w:hAnsi="仿宋_GB2312" w:eastAsia="仿宋_GB2312"/>
          <w:b w:val="0"/>
          <w:sz w:val="32"/>
        </w:rPr>
        <w:t>占本年支出合计的77.03%。</w:t>
      </w:r>
      <w:r>
        <w:rPr>
          <w:rFonts w:ascii="仿宋_GB2312" w:hAnsi="仿宋_GB2312" w:eastAsia="仿宋_GB2312"/>
          <w:b/>
          <w:sz w:val="32"/>
        </w:rPr>
        <w:t>与上年相比，</w:t>
      </w:r>
      <w:r>
        <w:rPr>
          <w:rFonts w:ascii="仿宋_GB2312" w:hAnsi="仿宋_GB2312" w:eastAsia="仿宋_GB2312"/>
          <w:b w:val="0"/>
          <w:sz w:val="32"/>
        </w:rPr>
        <w:t>增加12,453.67万元，增长47.69%，主要原因是：单位整合，供销技师学院并入本单位，人员增加，人员经费及公用经费较上年增加。</w:t>
      </w:r>
      <w:r>
        <w:rPr>
          <w:rFonts w:ascii="仿宋_GB2312" w:hAnsi="仿宋_GB2312" w:eastAsia="仿宋_GB2312"/>
          <w:b/>
          <w:sz w:val="32"/>
        </w:rPr>
        <w:t>与年初预算相比，</w:t>
      </w:r>
      <w:r>
        <w:rPr>
          <w:rFonts w:ascii="仿宋_GB2312" w:hAnsi="仿宋_GB2312" w:eastAsia="仿宋_GB2312"/>
          <w:b w:val="0"/>
          <w:sz w:val="32"/>
        </w:rPr>
        <w:t>年初预算数32,023.09万元，决算数38,565.93万元，预决算差异率20.43%，主要原因是：单位整合，年中供销技师学院并入本单位，本年在职人员增加，年中追加人员经费及人员工资、社保、公积金基数调增部分资金，导致预决算存在差异。</w:t>
      </w:r>
    </w:p>
    <w:p w14:paraId="0394282B">
      <w:pPr>
        <w:spacing w:line="640" w:lineRule="exact"/>
        <w:ind w:firstLine="640"/>
        <w:jc w:val="both"/>
        <w:outlineLvl w:val="3"/>
      </w:pPr>
      <w:r>
        <w:rPr>
          <w:rFonts w:ascii="楷体_GB2312" w:hAnsi="楷体_GB2312" w:eastAsia="楷体_GB2312"/>
          <w:b/>
          <w:sz w:val="32"/>
        </w:rPr>
        <w:t>（二）一般公共预算财政拨款支出决算结构情况</w:t>
      </w:r>
    </w:p>
    <w:p w14:paraId="691FF9F6">
      <w:pPr>
        <w:spacing w:line="580" w:lineRule="exact"/>
        <w:ind w:firstLine="640"/>
        <w:jc w:val="both"/>
      </w:pPr>
      <w:r>
        <w:rPr>
          <w:rFonts w:ascii="仿宋_GB2312" w:hAnsi="仿宋_GB2312" w:eastAsia="仿宋_GB2312"/>
          <w:b w:val="0"/>
          <w:sz w:val="32"/>
        </w:rPr>
        <w:t>1.教育支出（类）38,416.93万元，占99.61%。</w:t>
      </w:r>
    </w:p>
    <w:p w14:paraId="7368BF97">
      <w:pPr>
        <w:spacing w:line="580" w:lineRule="exact"/>
        <w:ind w:firstLine="640"/>
        <w:jc w:val="both"/>
      </w:pPr>
      <w:r>
        <w:rPr>
          <w:rFonts w:ascii="仿宋_GB2312" w:hAnsi="仿宋_GB2312" w:eastAsia="仿宋_GB2312"/>
          <w:b w:val="0"/>
          <w:sz w:val="32"/>
        </w:rPr>
        <w:t>2.科学技术支出（类）30.00万元，占0.08%。</w:t>
      </w:r>
    </w:p>
    <w:p w14:paraId="5D7A9949">
      <w:pPr>
        <w:spacing w:line="580" w:lineRule="exact"/>
        <w:ind w:firstLine="640"/>
        <w:jc w:val="both"/>
      </w:pPr>
      <w:r>
        <w:rPr>
          <w:rFonts w:ascii="仿宋_GB2312" w:hAnsi="仿宋_GB2312" w:eastAsia="仿宋_GB2312"/>
          <w:b w:val="0"/>
          <w:sz w:val="32"/>
        </w:rPr>
        <w:t>3.社会保障和就业支出（类）96.00万元，占0.25%。</w:t>
      </w:r>
    </w:p>
    <w:p w14:paraId="17D66617">
      <w:pPr>
        <w:spacing w:line="580" w:lineRule="exact"/>
        <w:ind w:firstLine="640"/>
        <w:jc w:val="both"/>
      </w:pPr>
      <w:r>
        <w:rPr>
          <w:rFonts w:ascii="仿宋_GB2312" w:hAnsi="仿宋_GB2312" w:eastAsia="仿宋_GB2312"/>
          <w:b w:val="0"/>
          <w:sz w:val="32"/>
        </w:rPr>
        <w:t>4.卫生健康支出（类）3.00万元，占0.008%。</w:t>
      </w:r>
    </w:p>
    <w:p w14:paraId="454F99C5">
      <w:pPr>
        <w:spacing w:line="580" w:lineRule="exact"/>
        <w:ind w:firstLine="640"/>
        <w:jc w:val="both"/>
      </w:pPr>
      <w:r>
        <w:rPr>
          <w:rFonts w:ascii="仿宋_GB2312" w:hAnsi="仿宋_GB2312" w:eastAsia="仿宋_GB2312"/>
          <w:b w:val="0"/>
          <w:sz w:val="32"/>
        </w:rPr>
        <w:t>5.资源勘探工业信息等支出（类）20.00万元，占0.05%。</w:t>
      </w:r>
    </w:p>
    <w:p w14:paraId="6C075185">
      <w:pPr>
        <w:spacing w:line="640" w:lineRule="exact"/>
        <w:ind w:firstLine="640"/>
        <w:jc w:val="both"/>
        <w:outlineLvl w:val="3"/>
      </w:pPr>
      <w:r>
        <w:rPr>
          <w:rFonts w:ascii="楷体_GB2312" w:hAnsi="楷体_GB2312" w:eastAsia="楷体_GB2312"/>
          <w:b/>
          <w:sz w:val="32"/>
        </w:rPr>
        <w:t>（三）一般公共预算财政拨款支出决算具体情况</w:t>
      </w:r>
    </w:p>
    <w:p w14:paraId="169E041F">
      <w:pPr>
        <w:spacing w:line="580" w:lineRule="exact"/>
        <w:ind w:firstLine="640"/>
        <w:jc w:val="both"/>
      </w:pPr>
      <w:r>
        <w:rPr>
          <w:rFonts w:ascii="仿宋_GB2312" w:hAnsi="仿宋_GB2312" w:eastAsia="仿宋_GB2312"/>
          <w:b w:val="0"/>
          <w:sz w:val="32"/>
        </w:rPr>
        <w:t>1.教育支出（类）普通教育（款）高等教育（项）：支出决算数为0.00万元，比上年决算减少30.00万元，下降100.00%，主要原因是：2025年较上年减少天池英才引进计划特聘教授项目。</w:t>
      </w:r>
    </w:p>
    <w:p w14:paraId="49F369D7">
      <w:pPr>
        <w:spacing w:line="580" w:lineRule="exact"/>
        <w:ind w:firstLine="640"/>
        <w:jc w:val="both"/>
      </w:pPr>
      <w:r>
        <w:rPr>
          <w:rFonts w:ascii="仿宋_GB2312" w:hAnsi="仿宋_GB2312" w:eastAsia="仿宋_GB2312"/>
          <w:b w:val="0"/>
          <w:sz w:val="32"/>
        </w:rPr>
        <w:t>2.教育支出（类）职业教育（款）中等职业教育（项）：支出决算数为134.77万元，比上年决算增加134.77万元，增长100.00%，主要原因是：中等职业教育招生规模扩大，对应三免一补项目资金较上年增加。</w:t>
      </w:r>
    </w:p>
    <w:p w14:paraId="58DF5CB3">
      <w:pPr>
        <w:spacing w:line="580" w:lineRule="exact"/>
        <w:ind w:firstLine="640"/>
        <w:jc w:val="both"/>
      </w:pPr>
      <w:r>
        <w:rPr>
          <w:rFonts w:ascii="仿宋_GB2312" w:hAnsi="仿宋_GB2312" w:eastAsia="仿宋_GB2312"/>
          <w:b w:val="0"/>
          <w:sz w:val="32"/>
        </w:rPr>
        <w:t>3.教育支出（类）职业教育（款）技校教育（项）：支出决算数为184.50万元，比上年决算增加127.71万元，增长224.88%，主要原因是：技工招生规模扩大，对应三免一补项目资金较上年增加。</w:t>
      </w:r>
    </w:p>
    <w:p w14:paraId="13C1D927">
      <w:pPr>
        <w:spacing w:line="580" w:lineRule="exact"/>
        <w:ind w:firstLine="640"/>
        <w:jc w:val="both"/>
      </w:pPr>
      <w:r>
        <w:rPr>
          <w:rFonts w:ascii="仿宋_GB2312" w:hAnsi="仿宋_GB2312" w:eastAsia="仿宋_GB2312"/>
          <w:b w:val="0"/>
          <w:sz w:val="32"/>
        </w:rPr>
        <w:t>4.教育支出（类）职业教育（款）高等职业教育（项）：支出决算数为38,087.87万元，比上年决算增加12,275.40万元，增长47.56%，主要原因是：单位整合，供销技师学院并入本单位，人员增加，人员经费及公用经费较上年增加。</w:t>
      </w:r>
    </w:p>
    <w:p w14:paraId="33270894">
      <w:pPr>
        <w:spacing w:line="580" w:lineRule="exact"/>
        <w:ind w:firstLine="640"/>
        <w:jc w:val="both"/>
      </w:pPr>
      <w:r>
        <w:rPr>
          <w:rFonts w:ascii="仿宋_GB2312" w:hAnsi="仿宋_GB2312" w:eastAsia="仿宋_GB2312"/>
          <w:b w:val="0"/>
          <w:sz w:val="32"/>
        </w:rPr>
        <w:t>5.教育支出（类）留学教育（款）来华留学教育（项）：支出决算数为9.80万元，比上年决算增加9.80万元，增长100.00%，主要原因是：2025年财政增加留学生项目，导致经费</w:t>
      </w:r>
      <w:r>
        <w:rPr>
          <w:rFonts w:hint="eastAsia" w:ascii="仿宋_GB2312" w:hAnsi="仿宋_GB2312" w:eastAsia="仿宋_GB2312"/>
          <w:b w:val="0"/>
          <w:sz w:val="32"/>
          <w:lang w:eastAsia="zh-CN"/>
        </w:rPr>
        <w:t>较</w:t>
      </w:r>
      <w:r>
        <w:rPr>
          <w:rFonts w:ascii="仿宋_GB2312" w:hAnsi="仿宋_GB2312" w:eastAsia="仿宋_GB2312"/>
          <w:b w:val="0"/>
          <w:sz w:val="32"/>
        </w:rPr>
        <w:t>上年增加。</w:t>
      </w:r>
    </w:p>
    <w:p w14:paraId="7D5AB9FF">
      <w:pPr>
        <w:spacing w:line="580" w:lineRule="exact"/>
        <w:ind w:firstLine="640"/>
        <w:jc w:val="both"/>
      </w:pPr>
      <w:r>
        <w:rPr>
          <w:rFonts w:ascii="仿宋_GB2312" w:hAnsi="仿宋_GB2312" w:eastAsia="仿宋_GB2312"/>
          <w:b w:val="0"/>
          <w:sz w:val="32"/>
        </w:rPr>
        <w:t>6.科学技术支出（类）基础研究（款）科技人才队伍建设（项）：支出决算数为30.00万元，比上年决算增加0.00万元，增长0.00%，主要原因是：天山英才培养计划项目资金与上年支出一致，无变化。</w:t>
      </w:r>
    </w:p>
    <w:p w14:paraId="7686B54E">
      <w:pPr>
        <w:spacing w:line="580" w:lineRule="exact"/>
        <w:ind w:firstLine="640"/>
        <w:jc w:val="both"/>
      </w:pPr>
      <w:r>
        <w:rPr>
          <w:rFonts w:ascii="仿宋_GB2312" w:hAnsi="仿宋_GB2312" w:eastAsia="仿宋_GB2312"/>
          <w:b w:val="0"/>
          <w:sz w:val="32"/>
        </w:rPr>
        <w:t>7.社会保障和就业支出（类）人力资源和社会保障管理事务（款）就业管理事务（项）：支出决算数为0.00万元，比上年决算减少19.00万元，下降100.00%，主要原因是：2025年较上年减少天山英才培养计划</w:t>
      </w:r>
      <w:r>
        <w:rPr>
          <w:rFonts w:hint="eastAsia" w:ascii="仿宋_GB2312" w:hAnsi="仿宋_GB2312" w:eastAsia="仿宋_GB2312"/>
          <w:b w:val="0"/>
          <w:sz w:val="32"/>
          <w:lang w:eastAsia="zh-CN"/>
        </w:rPr>
        <w:t>－</w:t>
      </w:r>
      <w:r>
        <w:rPr>
          <w:rFonts w:ascii="仿宋_GB2312" w:hAnsi="仿宋_GB2312" w:eastAsia="仿宋_GB2312"/>
          <w:b w:val="0"/>
          <w:sz w:val="32"/>
        </w:rPr>
        <w:t>新疆工匠项目。</w:t>
      </w:r>
    </w:p>
    <w:p w14:paraId="41CFB511">
      <w:pPr>
        <w:spacing w:line="580" w:lineRule="exact"/>
        <w:ind w:firstLine="640"/>
        <w:jc w:val="both"/>
      </w:pPr>
      <w:r>
        <w:rPr>
          <w:rFonts w:ascii="仿宋_GB2312" w:hAnsi="仿宋_GB2312" w:eastAsia="仿宋_GB2312"/>
          <w:b w:val="0"/>
          <w:sz w:val="32"/>
        </w:rPr>
        <w:t>8.社会保障和就业支出（类）人力资源和社会保障管理事务（款）其他人力资源和社会保障管理事务支出（项）：支出决算数为96.00万元，比上年决算增加86.00万元，增长860.00%，主要原因是：2025年财政追加自治区就业培训补助资金、2025年度第二轮支持资金</w:t>
      </w:r>
      <w:r>
        <w:rPr>
          <w:rFonts w:hint="eastAsia" w:ascii="仿宋_GB2312" w:hAnsi="仿宋_GB2312" w:eastAsia="仿宋_GB2312"/>
          <w:b w:val="0"/>
          <w:sz w:val="32"/>
          <w:lang w:eastAsia="zh-CN"/>
        </w:rPr>
        <w:t>－</w:t>
      </w:r>
      <w:r>
        <w:rPr>
          <w:rFonts w:ascii="仿宋_GB2312" w:hAnsi="仿宋_GB2312" w:eastAsia="仿宋_GB2312"/>
          <w:b w:val="0"/>
          <w:sz w:val="32"/>
        </w:rPr>
        <w:t>天山英才培养计划项目资金、2025年度第一轮支持资金</w:t>
      </w:r>
      <w:r>
        <w:rPr>
          <w:rFonts w:hint="eastAsia" w:ascii="仿宋_GB2312" w:hAnsi="仿宋_GB2312" w:eastAsia="仿宋_GB2312"/>
          <w:b w:val="0"/>
          <w:sz w:val="32"/>
          <w:lang w:eastAsia="zh-CN"/>
        </w:rPr>
        <w:t>－</w:t>
      </w:r>
      <w:r>
        <w:rPr>
          <w:rFonts w:ascii="仿宋_GB2312" w:hAnsi="仿宋_GB2312" w:eastAsia="仿宋_GB2312"/>
          <w:b w:val="0"/>
          <w:sz w:val="32"/>
        </w:rPr>
        <w:t>天山英才培养计划。</w:t>
      </w:r>
    </w:p>
    <w:p w14:paraId="1501CD2D">
      <w:pPr>
        <w:spacing w:line="580" w:lineRule="exact"/>
        <w:ind w:firstLine="640"/>
        <w:jc w:val="both"/>
      </w:pPr>
      <w:r>
        <w:rPr>
          <w:rFonts w:ascii="仿宋_GB2312" w:hAnsi="仿宋_GB2312" w:eastAsia="仿宋_GB2312"/>
          <w:b w:val="0"/>
          <w:sz w:val="32"/>
        </w:rPr>
        <w:t>9.卫生健康支出（类）公共卫生（款）重大公共卫生服务（项）：支出决算数为3.00万元，比上年决算增加3.00万元，增长100.00%，主要原因是：2025年财政追加重大公共卫生服务补助资金。</w:t>
      </w:r>
    </w:p>
    <w:p w14:paraId="4003ECB7">
      <w:pPr>
        <w:spacing w:line="580" w:lineRule="exact"/>
        <w:ind w:firstLine="640"/>
        <w:jc w:val="both"/>
      </w:pPr>
      <w:r>
        <w:rPr>
          <w:rFonts w:ascii="仿宋_GB2312" w:hAnsi="仿宋_GB2312" w:eastAsia="仿宋_GB2312"/>
          <w:b w:val="0"/>
          <w:sz w:val="32"/>
        </w:rPr>
        <w:t>10.资源勘探工业信息等支出（类）工业和信息产业（款）一般行政管理事务（项）：支出决算数为20.00万元，比上年决算减少134.00万元，下降87.01%，主要原因是：2025年较上年减少智力援疆创新拓展人才计划。</w:t>
      </w:r>
    </w:p>
    <w:p w14:paraId="129F7B29">
      <w:pPr>
        <w:spacing w:line="640" w:lineRule="exact"/>
        <w:ind w:firstLine="640"/>
        <w:jc w:val="both"/>
        <w:outlineLvl w:val="2"/>
      </w:pPr>
      <w:r>
        <w:rPr>
          <w:rFonts w:ascii="黑体" w:hAnsi="黑体" w:eastAsia="黑体"/>
          <w:sz w:val="32"/>
        </w:rPr>
        <w:t>六、一般公共预算财政拨款基本支出决算情况说明</w:t>
      </w:r>
    </w:p>
    <w:p w14:paraId="08182ADC">
      <w:pPr>
        <w:spacing w:line="580" w:lineRule="exact"/>
        <w:ind w:firstLine="640"/>
        <w:jc w:val="both"/>
      </w:pPr>
      <w:r>
        <w:rPr>
          <w:rFonts w:ascii="仿宋_GB2312" w:hAnsi="仿宋_GB2312" w:eastAsia="仿宋_GB2312"/>
          <w:b w:val="0"/>
          <w:sz w:val="32"/>
        </w:rPr>
        <w:t>2025年度一般公共预算财政拨款基本支出26,185.59万元，其中：</w:t>
      </w:r>
      <w:r>
        <w:rPr>
          <w:rFonts w:ascii="仿宋_GB2312" w:hAnsi="仿宋_GB2312" w:eastAsia="仿宋_GB2312"/>
          <w:b/>
          <w:sz w:val="32"/>
        </w:rPr>
        <w:t>人员经费22,451.59万元，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7FE30899">
      <w:pPr>
        <w:spacing w:line="580" w:lineRule="exact"/>
        <w:ind w:firstLine="640"/>
        <w:jc w:val="both"/>
      </w:pPr>
      <w:r>
        <w:rPr>
          <w:rFonts w:ascii="仿宋_GB2312" w:hAnsi="仿宋_GB2312" w:eastAsia="仿宋_GB2312"/>
          <w:b/>
          <w:sz w:val="32"/>
        </w:rPr>
        <w:t>公用经费3,734.00万元，</w:t>
      </w:r>
      <w:r>
        <w:rPr>
          <w:rFonts w:ascii="仿宋_GB2312" w:hAnsi="仿宋_GB2312" w:eastAsia="仿宋_GB2312"/>
          <w:b w:val="0"/>
          <w:sz w:val="32"/>
        </w:rPr>
        <w:t>包括：办公费、水费、电费、邮电费、取暖费、物业管理费、差旅费、培训费、工会经费、福利费、公务用车运行维护费、其他交通费用、其他商品和服务支出。</w:t>
      </w:r>
    </w:p>
    <w:p w14:paraId="4ADD49C8">
      <w:pPr>
        <w:spacing w:line="640" w:lineRule="exact"/>
        <w:ind w:firstLine="640"/>
        <w:jc w:val="both"/>
        <w:outlineLvl w:val="2"/>
      </w:pPr>
      <w:r>
        <w:rPr>
          <w:rFonts w:ascii="黑体" w:hAnsi="黑体" w:eastAsia="黑体"/>
          <w:sz w:val="32"/>
        </w:rPr>
        <w:t>七、政府性基金预算财政拨款收入支出决算情况说明</w:t>
      </w:r>
    </w:p>
    <w:p w14:paraId="3C385F3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77B0D5">
      <w:pPr>
        <w:spacing w:line="640" w:lineRule="exact"/>
        <w:ind w:firstLine="640"/>
        <w:jc w:val="both"/>
        <w:outlineLvl w:val="2"/>
      </w:pPr>
      <w:r>
        <w:rPr>
          <w:rFonts w:ascii="黑体" w:hAnsi="黑体" w:eastAsia="黑体"/>
          <w:sz w:val="32"/>
        </w:rPr>
        <w:t>八、国有资本经营预算财政拨款收入支出决算情况说明</w:t>
      </w:r>
    </w:p>
    <w:p w14:paraId="631D552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36A80C">
      <w:pPr>
        <w:spacing w:line="640" w:lineRule="exact"/>
        <w:ind w:firstLine="640"/>
        <w:jc w:val="both"/>
        <w:outlineLvl w:val="2"/>
      </w:pPr>
      <w:r>
        <w:rPr>
          <w:rFonts w:ascii="黑体" w:hAnsi="黑体" w:eastAsia="黑体"/>
          <w:sz w:val="32"/>
        </w:rPr>
        <w:t>九、财政拨款“三公”经费支出决算情况说明</w:t>
      </w:r>
    </w:p>
    <w:p w14:paraId="2CE74253">
      <w:pPr>
        <w:spacing w:line="580" w:lineRule="exact"/>
        <w:ind w:firstLine="640"/>
        <w:jc w:val="both"/>
      </w:pPr>
      <w:r>
        <w:rPr>
          <w:rFonts w:ascii="仿宋_GB2312" w:hAnsi="仿宋_GB2312" w:eastAsia="仿宋_GB2312"/>
          <w:b/>
          <w:sz w:val="32"/>
        </w:rPr>
        <w:t>2025年度财政拨款“三公”经费支出6.01万元，</w:t>
      </w:r>
      <w:r>
        <w:rPr>
          <w:rFonts w:ascii="仿宋_GB2312" w:hAnsi="仿宋_GB2312" w:eastAsia="仿宋_GB2312"/>
          <w:b w:val="0"/>
          <w:sz w:val="32"/>
        </w:rPr>
        <w:t>比上年增加6.01万元，增长100.00%，主要原因是：单位整合，供销技师学院并入学院，公务用车运行维护费支出较上年增加。其中：因公出国（境）费用支出0.00万元，占0.00%，比上年增加0.00万元，增长0.00%，主要原因是：2024年与2025年均无因公出国（境）费用支出。公务用车购置及运行维护费支出6.01万元，占100.00%，比上年增加6.01万元，增长100.00%，主要原因是：单位整合，供销技师学院并入学院，公务用车运行维护费支出较上年增加。公务接待费支出0.00万元，占0.00%，比上年增加0.00万元，增长0.00%，主要原因是：2024年与2025年均无公务接待费支出。</w:t>
      </w:r>
    </w:p>
    <w:p w14:paraId="59E06BAD">
      <w:pPr>
        <w:spacing w:line="580" w:lineRule="exact"/>
        <w:ind w:firstLine="640"/>
        <w:jc w:val="both"/>
      </w:pPr>
      <w:r>
        <w:rPr>
          <w:rFonts w:ascii="仿宋_GB2312" w:hAnsi="仿宋_GB2312" w:eastAsia="仿宋_GB2312"/>
          <w:b/>
          <w:sz w:val="32"/>
        </w:rPr>
        <w:t>具体情况如下：</w:t>
      </w:r>
    </w:p>
    <w:p w14:paraId="7D8266A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314D9AD">
      <w:pPr>
        <w:spacing w:line="580" w:lineRule="exact"/>
        <w:ind w:firstLine="640"/>
        <w:jc w:val="both"/>
      </w:pPr>
      <w:r>
        <w:rPr>
          <w:rFonts w:ascii="仿宋_GB2312" w:hAnsi="仿宋_GB2312" w:eastAsia="仿宋_GB2312"/>
          <w:b w:val="0"/>
          <w:sz w:val="32"/>
        </w:rPr>
        <w:t>公务用车购置及运行维护费6.01万元，其中：公务用车购置费0.00万元，公务用车运行维护费6.01万元。公务用车运行维护费开支内容包括车辆加油费、维修费、保险费、审车费、过路费等。公务用车购置数0辆，公务用车保有量12辆。国有资产占用情况中固定资产车辆19辆，与公务用车保有量差异原因是：差异车辆为单位业务用车，预算未安排公务用车运行维护费。</w:t>
      </w:r>
    </w:p>
    <w:p w14:paraId="633E118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F295E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6.01万元，决算数6.01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6.01万元，决算数6.01万元，预决算差异率0.00%，主要原因是：严格按照预算执行，预决算无差异。公务接待费全年预算数0.00万元，决算数0.00万元，预决算差异率0.00%，主要原因是：本单位无公务接待费。</w:t>
      </w:r>
    </w:p>
    <w:p w14:paraId="44822266">
      <w:pPr>
        <w:spacing w:line="640" w:lineRule="exact"/>
        <w:ind w:firstLine="640"/>
        <w:jc w:val="both"/>
        <w:outlineLvl w:val="2"/>
      </w:pPr>
      <w:r>
        <w:rPr>
          <w:rFonts w:ascii="黑体" w:hAnsi="黑体" w:eastAsia="黑体"/>
          <w:sz w:val="32"/>
        </w:rPr>
        <w:t>十、其他重要事项的情况说明</w:t>
      </w:r>
    </w:p>
    <w:p w14:paraId="5F8A5FB8">
      <w:pPr>
        <w:spacing w:line="640" w:lineRule="exact"/>
        <w:ind w:firstLine="640"/>
        <w:jc w:val="both"/>
        <w:outlineLvl w:val="3"/>
      </w:pPr>
      <w:r>
        <w:rPr>
          <w:rFonts w:ascii="楷体_GB2312" w:hAnsi="楷体_GB2312" w:eastAsia="楷体_GB2312"/>
          <w:b/>
          <w:sz w:val="32"/>
        </w:rPr>
        <w:t>（一）机关运行经费及公用经费支出情况</w:t>
      </w:r>
    </w:p>
    <w:p w14:paraId="71F928C5">
      <w:pPr>
        <w:spacing w:line="580" w:lineRule="exact"/>
        <w:ind w:firstLine="640"/>
        <w:jc w:val="both"/>
      </w:pPr>
      <w:r>
        <w:rPr>
          <w:rFonts w:ascii="仿宋_GB2312" w:hAnsi="仿宋_GB2312" w:eastAsia="仿宋_GB2312"/>
          <w:b w:val="0"/>
          <w:sz w:val="32"/>
        </w:rPr>
        <w:t>2025年度新疆轻工职业技术学院（事业单位）公用经费支出3,734.00万元，比上年增加2,504.00万元，增长203.58%，主要原因是：单位整合，供销技师学院并入本单位，校园规模较上年增加，相对于公用经费较上年增加。</w:t>
      </w:r>
    </w:p>
    <w:p w14:paraId="2F9040C6">
      <w:pPr>
        <w:spacing w:line="640" w:lineRule="exact"/>
        <w:ind w:firstLine="640"/>
        <w:jc w:val="both"/>
        <w:outlineLvl w:val="3"/>
      </w:pPr>
      <w:r>
        <w:rPr>
          <w:rFonts w:ascii="楷体_GB2312" w:hAnsi="楷体_GB2312" w:eastAsia="楷体_GB2312"/>
          <w:b/>
          <w:sz w:val="32"/>
        </w:rPr>
        <w:t>（二）政府采购情况</w:t>
      </w:r>
    </w:p>
    <w:p w14:paraId="6D441A2C">
      <w:pPr>
        <w:spacing w:line="580" w:lineRule="exact"/>
        <w:ind w:firstLine="640"/>
        <w:jc w:val="both"/>
      </w:pPr>
      <w:r>
        <w:rPr>
          <w:rFonts w:ascii="仿宋_GB2312" w:hAnsi="仿宋_GB2312" w:eastAsia="仿宋_GB2312"/>
          <w:b w:val="0"/>
          <w:sz w:val="32"/>
        </w:rPr>
        <w:t>2025年度政府采购支出总额4,612.50万元，其中：政府采购货物支出1,348.08万元、政府采购工程支出1,961.02万元、政府采购服务支出1,303.41万元。</w:t>
      </w:r>
    </w:p>
    <w:p w14:paraId="637FAF4C">
      <w:pPr>
        <w:spacing w:line="580" w:lineRule="exact"/>
        <w:ind w:firstLine="640"/>
        <w:jc w:val="both"/>
      </w:pPr>
      <w:r>
        <w:rPr>
          <w:rFonts w:ascii="仿宋_GB2312" w:hAnsi="仿宋_GB2312" w:eastAsia="仿宋_GB2312"/>
          <w:b w:val="0"/>
          <w:sz w:val="32"/>
        </w:rPr>
        <w:t>授予中小企业合同金额3,480.39万元，占政府采购支出总额的75.46%，其中：授予小微企业合同金额3,480.39万元，占政府采购支出总额的75.46%。</w:t>
      </w:r>
    </w:p>
    <w:p w14:paraId="16782788">
      <w:pPr>
        <w:spacing w:line="640" w:lineRule="exact"/>
        <w:ind w:firstLine="640"/>
        <w:jc w:val="both"/>
        <w:outlineLvl w:val="3"/>
      </w:pPr>
      <w:r>
        <w:rPr>
          <w:rFonts w:ascii="楷体_GB2312" w:hAnsi="楷体_GB2312" w:eastAsia="楷体_GB2312"/>
          <w:b/>
          <w:sz w:val="32"/>
        </w:rPr>
        <w:t>（三）国有资产占用情况说明</w:t>
      </w:r>
    </w:p>
    <w:p w14:paraId="335B4E5E">
      <w:pPr>
        <w:spacing w:line="580" w:lineRule="exact"/>
        <w:ind w:firstLine="640"/>
        <w:jc w:val="both"/>
      </w:pPr>
      <w:r>
        <w:rPr>
          <w:rFonts w:ascii="仿宋_GB2312" w:hAnsi="仿宋_GB2312" w:eastAsia="仿宋_GB2312"/>
          <w:b w:val="0"/>
          <w:sz w:val="32"/>
        </w:rPr>
        <w:t>截至2025年12月31日，房屋405,061.24平方米，价值77,181.53万元。车辆19辆，价值350.33万元，其中：副部（省）级及以上领导用车0辆、主要负责人用车0辆、机要通信用车0辆、应急保障用车0辆、执法执勤用车0辆、特种专业技术用车0辆、离退休干部服务用车0辆、其他用车19辆，其他用车主要是：一般公务用车和单位业务用车。单价100万元（含）以上设备（不含车辆）19台（套）。</w:t>
      </w:r>
    </w:p>
    <w:p w14:paraId="6B251BA3">
      <w:pPr>
        <w:spacing w:line="640" w:lineRule="exact"/>
        <w:ind w:firstLine="640"/>
        <w:jc w:val="both"/>
        <w:outlineLvl w:val="2"/>
      </w:pPr>
      <w:r>
        <w:rPr>
          <w:rFonts w:ascii="黑体" w:hAnsi="黑体" w:eastAsia="黑体"/>
          <w:sz w:val="32"/>
        </w:rPr>
        <w:t>十一、预算绩效的情况说明</w:t>
      </w:r>
    </w:p>
    <w:p w14:paraId="0E0BC013">
      <w:pPr>
        <w:spacing w:line="580" w:lineRule="exact"/>
        <w:ind w:firstLine="640"/>
        <w:jc w:val="both"/>
      </w:pPr>
      <w:r>
        <w:rPr>
          <w:rFonts w:ascii="仿宋_GB2312" w:hAnsi="仿宋_GB2312" w:eastAsia="仿宋_GB2312"/>
          <w:b w:val="0"/>
          <w:sz w:val="32"/>
        </w:rPr>
        <w:t>根据预算绩效管理要求，本单位预算绩效评价项目1个，全年预算数</w:t>
      </w:r>
      <w:r>
        <w:rPr>
          <w:rFonts w:hint="eastAsia" w:ascii="仿宋_GB2312" w:hAnsi="仿宋_GB2312" w:eastAsia="仿宋_GB2312"/>
          <w:b w:val="0"/>
          <w:sz w:val="32"/>
        </w:rPr>
        <w:t>10989.40</w:t>
      </w:r>
      <w:r>
        <w:rPr>
          <w:rFonts w:ascii="仿宋_GB2312" w:hAnsi="仿宋_GB2312" w:eastAsia="仿宋_GB2312"/>
          <w:b w:val="0"/>
          <w:sz w:val="32"/>
        </w:rPr>
        <w:t>万元，全年执行数</w:t>
      </w:r>
      <w:r>
        <w:rPr>
          <w:rFonts w:hint="eastAsia" w:ascii="仿宋_GB2312" w:hAnsi="仿宋_GB2312" w:eastAsia="仿宋_GB2312"/>
          <w:b w:val="0"/>
          <w:sz w:val="32"/>
        </w:rPr>
        <w:t>10989.40</w:t>
      </w:r>
      <w:r>
        <w:rPr>
          <w:rFonts w:ascii="仿宋_GB2312" w:hAnsi="仿宋_GB2312" w:eastAsia="仿宋_GB2312"/>
          <w:b w:val="0"/>
          <w:sz w:val="32"/>
        </w:rPr>
        <w:t>万元。预算绩效管理取得的成效：一是严格执行《中华人民共和国会计法》《中华人民共和国预算法》《中华人民共和国政府采购法》等法律法规，规范和加快预算执行，积极做好绩效监控和绩效评价工作，确保预算执行的准确性及时性和规范性，切实发挥财政资金最大效用。二是各项工作实施及资金使用情况均在绩效目标设定时</w:t>
      </w:r>
      <w:r>
        <w:rPr>
          <w:rFonts w:hint="eastAsia" w:ascii="仿宋_GB2312" w:hAnsi="仿宋_GB2312" w:eastAsia="仿宋_GB2312"/>
          <w:b w:val="0"/>
          <w:sz w:val="32"/>
          <w:lang w:eastAsia="zh-CN"/>
        </w:rPr>
        <w:t>限内</w:t>
      </w:r>
      <w:r>
        <w:rPr>
          <w:rFonts w:ascii="仿宋_GB2312" w:hAnsi="仿宋_GB2312" w:eastAsia="仿宋_GB2312"/>
          <w:b w:val="0"/>
          <w:sz w:val="32"/>
        </w:rPr>
        <w:t>完成，在项目经费的使用上，在保证各项任务顺利完成的同时，严格落实厉行节约原则。发现的问题及原因：一是预算绩效申报个别绩效目标设置不科学。二是因为编制的项目自评指标体系不够精细，绩效目标未完全细化，分解工作任务不够具体，在经费支出过程中精确</w:t>
      </w:r>
      <w:bookmarkStart w:id="0" w:name="_GoBack"/>
      <w:bookmarkEnd w:id="0"/>
      <w:r>
        <w:rPr>
          <w:rFonts w:ascii="仿宋_GB2312" w:hAnsi="仿宋_GB2312" w:eastAsia="仿宋_GB2312"/>
          <w:b w:val="0"/>
          <w:sz w:val="32"/>
        </w:rPr>
        <w:t>度有待提高。下一步改进措施：在今后的预算绩效申报时，相关业务科室将全年工作任务细化分解为具体的工作目标，并采取定量的方式制定清晰可衡量的绩效指标，提高项目使用精确度。具体项目自评情况附项目支出绩效自评表。具体附项目支出绩效自评表。</w:t>
      </w:r>
    </w:p>
    <w:p w14:paraId="6FFEA39E">
      <w:r>
        <w:br w:type="page"/>
      </w:r>
    </w:p>
    <w:p w14:paraId="03056F48">
      <w:pPr>
        <w:sectPr>
          <w:footerReference r:id="rId3" w:type="default"/>
          <w:pgSz w:w="11906" w:h="16838"/>
          <w:pgMar w:top="2098" w:right="1531" w:bottom="1985" w:left="1531" w:header="851" w:footer="992" w:gutter="0"/>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0"/>
        <w:gridCol w:w="390"/>
        <w:gridCol w:w="391"/>
        <w:gridCol w:w="650"/>
        <w:gridCol w:w="582"/>
        <w:gridCol w:w="523"/>
        <w:gridCol w:w="474"/>
        <w:gridCol w:w="1084"/>
        <w:gridCol w:w="306"/>
        <w:gridCol w:w="257"/>
        <w:gridCol w:w="737"/>
        <w:gridCol w:w="391"/>
        <w:gridCol w:w="650"/>
        <w:gridCol w:w="425"/>
        <w:gridCol w:w="406"/>
        <w:gridCol w:w="650"/>
      </w:tblGrid>
      <w:tr w14:paraId="4197B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5000" w:type="pct"/>
            <w:gridSpan w:val="16"/>
            <w:tcBorders>
              <w:top w:val="nil"/>
              <w:left w:val="nil"/>
              <w:bottom w:val="nil"/>
              <w:right w:val="nil"/>
            </w:tcBorders>
            <w:shd w:val="clear"/>
            <w:vAlign w:val="center"/>
          </w:tcPr>
          <w:p w14:paraId="395F9A1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6D6B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6"/>
            <w:tcBorders>
              <w:top w:val="single" w:color="000000" w:sz="4" w:space="0"/>
              <w:left w:val="single" w:color="000000" w:sz="4" w:space="0"/>
              <w:bottom w:val="single" w:color="000000" w:sz="4" w:space="0"/>
              <w:right w:val="single" w:color="000000" w:sz="4" w:space="0"/>
            </w:tcBorders>
            <w:shd w:val="clear"/>
            <w:vAlign w:val="center"/>
          </w:tcPr>
          <w:p w14:paraId="6357C2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(2025年度)</w:t>
            </w:r>
          </w:p>
        </w:tc>
      </w:tr>
      <w:tr w14:paraId="3902A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51" w:type="pct"/>
            <w:gridSpan w:val="2"/>
            <w:tcBorders>
              <w:top w:val="single" w:color="000000" w:sz="4" w:space="0"/>
              <w:left w:val="single" w:color="000000" w:sz="4" w:space="0"/>
              <w:bottom w:val="single" w:color="000000" w:sz="4" w:space="0"/>
              <w:right w:val="single" w:color="000000" w:sz="4" w:space="0"/>
            </w:tcBorders>
            <w:shd w:val="clear"/>
            <w:vAlign w:val="center"/>
          </w:tcPr>
          <w:p w14:paraId="22CACB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48" w:type="pct"/>
            <w:gridSpan w:val="14"/>
            <w:tcBorders>
              <w:top w:val="single" w:color="000000" w:sz="4" w:space="0"/>
              <w:left w:val="single" w:color="000000" w:sz="4" w:space="0"/>
              <w:bottom w:val="single" w:color="000000" w:sz="4" w:space="0"/>
              <w:right w:val="single" w:color="000000" w:sz="4" w:space="0"/>
            </w:tcBorders>
            <w:shd w:val="clear"/>
            <w:vAlign w:val="center"/>
          </w:tcPr>
          <w:p w14:paraId="730F58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2025年部门预算非财政拨款项目</w:t>
            </w:r>
          </w:p>
        </w:tc>
      </w:tr>
      <w:tr w14:paraId="4D099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51" w:type="pct"/>
            <w:gridSpan w:val="2"/>
            <w:tcBorders>
              <w:top w:val="single" w:color="000000" w:sz="4" w:space="0"/>
              <w:left w:val="single" w:color="000000" w:sz="4" w:space="0"/>
              <w:bottom w:val="single" w:color="000000" w:sz="4" w:space="0"/>
              <w:right w:val="single" w:color="000000" w:sz="4" w:space="0"/>
            </w:tcBorders>
            <w:shd w:val="clear"/>
            <w:vAlign w:val="center"/>
          </w:tcPr>
          <w:p w14:paraId="03201E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2445" w:type="pct"/>
            <w:gridSpan w:val="7"/>
            <w:tcBorders>
              <w:top w:val="single" w:color="000000" w:sz="4" w:space="0"/>
              <w:left w:val="single" w:color="000000" w:sz="4" w:space="0"/>
              <w:bottom w:val="single" w:color="000000" w:sz="4" w:space="0"/>
              <w:right w:val="single" w:color="000000" w:sz="4" w:space="0"/>
            </w:tcBorders>
            <w:shd w:val="clear"/>
            <w:vAlign w:val="center"/>
          </w:tcPr>
          <w:p w14:paraId="16235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新疆维吾尔自治区教育厅</w:t>
            </w:r>
          </w:p>
        </w:tc>
        <w:tc>
          <w:tcPr>
            <w:tcW w:w="659" w:type="pct"/>
            <w:gridSpan w:val="2"/>
            <w:tcBorders>
              <w:top w:val="single" w:color="000000" w:sz="4" w:space="0"/>
              <w:left w:val="single" w:color="000000" w:sz="4" w:space="0"/>
              <w:bottom w:val="single" w:color="000000" w:sz="4" w:space="0"/>
              <w:right w:val="single" w:color="000000" w:sz="4" w:space="0"/>
            </w:tcBorders>
            <w:shd w:val="clear"/>
            <w:vAlign w:val="center"/>
          </w:tcPr>
          <w:p w14:paraId="65B993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1442" w:type="pct"/>
            <w:gridSpan w:val="5"/>
            <w:tcBorders>
              <w:top w:val="single" w:color="000000" w:sz="4" w:space="0"/>
              <w:left w:val="single" w:color="000000" w:sz="4" w:space="0"/>
              <w:bottom w:val="single" w:color="000000" w:sz="4" w:space="0"/>
              <w:right w:val="single" w:color="000000" w:sz="4" w:space="0"/>
            </w:tcBorders>
            <w:shd w:val="clear"/>
            <w:vAlign w:val="center"/>
          </w:tcPr>
          <w:p w14:paraId="341186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新疆轻工职业技术学院</w:t>
            </w:r>
          </w:p>
        </w:tc>
      </w:tr>
      <w:tr w14:paraId="4D479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51"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56926D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6F410776">
            <w:pPr>
              <w:jc w:val="center"/>
              <w:rPr>
                <w:rFonts w:hint="eastAsia" w:ascii="宋体" w:hAnsi="宋体" w:eastAsia="宋体" w:cs="宋体"/>
                <w:b/>
                <w:bCs/>
                <w:i w:val="0"/>
                <w:iCs w:val="0"/>
                <w:color w:val="000000"/>
                <w:sz w:val="18"/>
                <w:szCs w:val="18"/>
                <w:u w:val="none"/>
              </w:rPr>
            </w:pPr>
          </w:p>
        </w:tc>
        <w:tc>
          <w:tcPr>
            <w:tcW w:w="804" w:type="pct"/>
            <w:gridSpan w:val="2"/>
            <w:tcBorders>
              <w:top w:val="single" w:color="000000" w:sz="4" w:space="0"/>
              <w:left w:val="single" w:color="000000" w:sz="4" w:space="0"/>
              <w:bottom w:val="single" w:color="000000" w:sz="4" w:space="0"/>
              <w:right w:val="single" w:color="000000" w:sz="4" w:space="0"/>
            </w:tcBorders>
            <w:shd w:val="clear"/>
            <w:vAlign w:val="center"/>
          </w:tcPr>
          <w:p w14:paraId="0BD7C0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1047" w:type="pct"/>
            <w:gridSpan w:val="3"/>
            <w:tcBorders>
              <w:top w:val="single" w:color="000000" w:sz="4" w:space="0"/>
              <w:left w:val="single" w:color="000000" w:sz="4" w:space="0"/>
              <w:bottom w:val="single" w:color="000000" w:sz="4" w:space="0"/>
              <w:right w:val="single" w:color="000000" w:sz="4" w:space="0"/>
            </w:tcBorders>
            <w:shd w:val="clear"/>
            <w:vAlign w:val="center"/>
          </w:tcPr>
          <w:p w14:paraId="6D226F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59" w:type="pct"/>
            <w:gridSpan w:val="2"/>
            <w:tcBorders>
              <w:top w:val="single" w:color="000000" w:sz="4" w:space="0"/>
              <w:left w:val="single" w:color="000000" w:sz="4" w:space="0"/>
              <w:bottom w:val="single" w:color="000000" w:sz="4" w:space="0"/>
              <w:right w:val="single" w:color="000000" w:sz="4" w:space="0"/>
            </w:tcBorders>
            <w:shd w:val="clear"/>
            <w:vAlign w:val="center"/>
          </w:tcPr>
          <w:p w14:paraId="571060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0414EE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479" w:type="pct"/>
            <w:gridSpan w:val="2"/>
            <w:tcBorders>
              <w:top w:val="single" w:color="000000" w:sz="4" w:space="0"/>
              <w:left w:val="single" w:color="000000" w:sz="4" w:space="0"/>
              <w:bottom w:val="single" w:color="000000" w:sz="4" w:space="0"/>
              <w:right w:val="single" w:color="000000" w:sz="4" w:space="0"/>
            </w:tcBorders>
            <w:shd w:val="clear"/>
            <w:vAlign w:val="center"/>
          </w:tcPr>
          <w:p w14:paraId="2FA78E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3B221F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188DB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51"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20187E6">
            <w:pPr>
              <w:jc w:val="center"/>
              <w:rPr>
                <w:rFonts w:hint="eastAsia" w:ascii="宋体" w:hAnsi="宋体" w:eastAsia="宋体" w:cs="宋体"/>
                <w:b/>
                <w:bCs/>
                <w:i w:val="0"/>
                <w:iCs w:val="0"/>
                <w:color w:val="000000"/>
                <w:sz w:val="18"/>
                <w:szCs w:val="18"/>
                <w:u w:val="none"/>
              </w:rPr>
            </w:pP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18F356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804" w:type="pct"/>
            <w:gridSpan w:val="2"/>
            <w:tcBorders>
              <w:top w:val="single" w:color="000000" w:sz="4" w:space="0"/>
              <w:left w:val="single" w:color="000000" w:sz="4" w:space="0"/>
              <w:bottom w:val="single" w:color="000000" w:sz="4" w:space="0"/>
              <w:right w:val="single" w:color="000000" w:sz="4" w:space="0"/>
            </w:tcBorders>
            <w:shd w:val="clear"/>
            <w:vAlign w:val="center"/>
          </w:tcPr>
          <w:p w14:paraId="49F4C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10989.40</w:t>
            </w:r>
          </w:p>
        </w:tc>
        <w:tc>
          <w:tcPr>
            <w:tcW w:w="1047" w:type="pct"/>
            <w:gridSpan w:val="3"/>
            <w:tcBorders>
              <w:top w:val="single" w:color="000000" w:sz="4" w:space="0"/>
              <w:left w:val="single" w:color="000000" w:sz="4" w:space="0"/>
              <w:bottom w:val="single" w:color="000000" w:sz="4" w:space="0"/>
              <w:right w:val="single" w:color="000000" w:sz="4" w:space="0"/>
            </w:tcBorders>
            <w:shd w:val="clear"/>
            <w:vAlign w:val="center"/>
          </w:tcPr>
          <w:p w14:paraId="0E6B0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10989.40</w:t>
            </w:r>
          </w:p>
        </w:tc>
        <w:tc>
          <w:tcPr>
            <w:tcW w:w="659" w:type="pct"/>
            <w:gridSpan w:val="2"/>
            <w:tcBorders>
              <w:top w:val="single" w:color="000000" w:sz="4" w:space="0"/>
              <w:left w:val="single" w:color="000000" w:sz="4" w:space="0"/>
              <w:bottom w:val="single" w:color="000000" w:sz="4" w:space="0"/>
              <w:right w:val="single" w:color="000000" w:sz="4" w:space="0"/>
            </w:tcBorders>
            <w:shd w:val="clear"/>
            <w:vAlign w:val="center"/>
          </w:tcPr>
          <w:p w14:paraId="1BF3B4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10989.40</w:t>
            </w: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3FE06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79" w:type="pct"/>
            <w:gridSpan w:val="2"/>
            <w:tcBorders>
              <w:top w:val="single" w:color="000000" w:sz="4" w:space="0"/>
              <w:left w:val="single" w:color="000000" w:sz="4" w:space="0"/>
              <w:bottom w:val="single" w:color="000000" w:sz="4" w:space="0"/>
              <w:right w:val="single" w:color="000000" w:sz="4" w:space="0"/>
            </w:tcBorders>
            <w:shd w:val="clear"/>
            <w:vAlign w:val="center"/>
          </w:tcPr>
          <w:p w14:paraId="428315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05C476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5AE50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51"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688DCCA">
            <w:pPr>
              <w:jc w:val="center"/>
              <w:rPr>
                <w:rFonts w:hint="eastAsia" w:ascii="宋体" w:hAnsi="宋体" w:eastAsia="宋体" w:cs="宋体"/>
                <w:b/>
                <w:bCs/>
                <w:i w:val="0"/>
                <w:iCs w:val="0"/>
                <w:color w:val="000000"/>
                <w:sz w:val="18"/>
                <w:szCs w:val="18"/>
                <w:u w:val="none"/>
              </w:rPr>
            </w:pP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303709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804" w:type="pct"/>
            <w:gridSpan w:val="2"/>
            <w:tcBorders>
              <w:top w:val="single" w:color="000000" w:sz="4" w:space="0"/>
              <w:left w:val="single" w:color="000000" w:sz="4" w:space="0"/>
              <w:bottom w:val="single" w:color="000000" w:sz="4" w:space="0"/>
              <w:right w:val="single" w:color="000000" w:sz="4" w:space="0"/>
            </w:tcBorders>
            <w:shd w:val="clear"/>
            <w:vAlign w:val="center"/>
          </w:tcPr>
          <w:p w14:paraId="171D1B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047" w:type="pct"/>
            <w:gridSpan w:val="3"/>
            <w:tcBorders>
              <w:top w:val="single" w:color="000000" w:sz="4" w:space="0"/>
              <w:left w:val="single" w:color="000000" w:sz="4" w:space="0"/>
              <w:bottom w:val="single" w:color="000000" w:sz="4" w:space="0"/>
              <w:right w:val="single" w:color="000000" w:sz="4" w:space="0"/>
            </w:tcBorders>
            <w:shd w:val="clear"/>
            <w:vAlign w:val="center"/>
          </w:tcPr>
          <w:p w14:paraId="1DD7A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59" w:type="pct"/>
            <w:gridSpan w:val="2"/>
            <w:tcBorders>
              <w:top w:val="single" w:color="000000" w:sz="4" w:space="0"/>
              <w:left w:val="single" w:color="000000" w:sz="4" w:space="0"/>
              <w:bottom w:val="single" w:color="000000" w:sz="4" w:space="0"/>
              <w:right w:val="single" w:color="000000" w:sz="4" w:space="0"/>
            </w:tcBorders>
            <w:shd w:val="clear"/>
            <w:vAlign w:val="center"/>
          </w:tcPr>
          <w:p w14:paraId="19F065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241F3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9" w:type="pct"/>
            <w:gridSpan w:val="2"/>
            <w:tcBorders>
              <w:top w:val="single" w:color="000000" w:sz="4" w:space="0"/>
              <w:left w:val="single" w:color="000000" w:sz="4" w:space="0"/>
              <w:bottom w:val="single" w:color="000000" w:sz="4" w:space="0"/>
              <w:right w:val="single" w:color="000000" w:sz="4" w:space="0"/>
            </w:tcBorders>
            <w:shd w:val="clear"/>
            <w:vAlign w:val="center"/>
          </w:tcPr>
          <w:p w14:paraId="70F0C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5477D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247B6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51"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FD6B23E">
            <w:pPr>
              <w:jc w:val="center"/>
              <w:rPr>
                <w:rFonts w:hint="eastAsia" w:ascii="宋体" w:hAnsi="宋体" w:eastAsia="宋体" w:cs="宋体"/>
                <w:b/>
                <w:bCs/>
                <w:i w:val="0"/>
                <w:iCs w:val="0"/>
                <w:color w:val="000000"/>
                <w:sz w:val="18"/>
                <w:szCs w:val="18"/>
                <w:u w:val="none"/>
              </w:rPr>
            </w:pP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16B86E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804" w:type="pct"/>
            <w:gridSpan w:val="2"/>
            <w:tcBorders>
              <w:top w:val="single" w:color="000000" w:sz="4" w:space="0"/>
              <w:left w:val="single" w:color="000000" w:sz="4" w:space="0"/>
              <w:bottom w:val="single" w:color="000000" w:sz="4" w:space="0"/>
              <w:right w:val="single" w:color="000000" w:sz="4" w:space="0"/>
            </w:tcBorders>
            <w:shd w:val="clear"/>
            <w:vAlign w:val="center"/>
          </w:tcPr>
          <w:p w14:paraId="71347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10989.40</w:t>
            </w:r>
          </w:p>
        </w:tc>
        <w:tc>
          <w:tcPr>
            <w:tcW w:w="1047" w:type="pct"/>
            <w:gridSpan w:val="3"/>
            <w:tcBorders>
              <w:top w:val="single" w:color="000000" w:sz="4" w:space="0"/>
              <w:left w:val="single" w:color="000000" w:sz="4" w:space="0"/>
              <w:bottom w:val="single" w:color="000000" w:sz="4" w:space="0"/>
              <w:right w:val="single" w:color="000000" w:sz="4" w:space="0"/>
            </w:tcBorders>
            <w:shd w:val="clear"/>
            <w:vAlign w:val="center"/>
          </w:tcPr>
          <w:p w14:paraId="66084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10989.40</w:t>
            </w:r>
          </w:p>
        </w:tc>
        <w:tc>
          <w:tcPr>
            <w:tcW w:w="659" w:type="pct"/>
            <w:gridSpan w:val="2"/>
            <w:tcBorders>
              <w:top w:val="single" w:color="000000" w:sz="4" w:space="0"/>
              <w:left w:val="single" w:color="000000" w:sz="4" w:space="0"/>
              <w:bottom w:val="single" w:color="000000" w:sz="4" w:space="0"/>
              <w:right w:val="single" w:color="000000" w:sz="4" w:space="0"/>
            </w:tcBorders>
            <w:shd w:val="clear"/>
            <w:vAlign w:val="center"/>
          </w:tcPr>
          <w:p w14:paraId="32776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10989.40</w:t>
            </w:r>
          </w:p>
        </w:tc>
        <w:tc>
          <w:tcPr>
            <w:tcW w:w="594" w:type="pct"/>
            <w:gridSpan w:val="2"/>
            <w:tcBorders>
              <w:top w:val="single" w:color="000000" w:sz="4" w:space="0"/>
              <w:left w:val="single" w:color="000000" w:sz="4" w:space="0"/>
              <w:bottom w:val="single" w:color="000000" w:sz="4" w:space="0"/>
              <w:right w:val="single" w:color="000000" w:sz="4" w:space="0"/>
            </w:tcBorders>
            <w:shd w:val="clear"/>
            <w:vAlign w:val="center"/>
          </w:tcPr>
          <w:p w14:paraId="5639A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9" w:type="pct"/>
            <w:gridSpan w:val="2"/>
            <w:tcBorders>
              <w:top w:val="single" w:color="000000" w:sz="4" w:space="0"/>
              <w:left w:val="single" w:color="000000" w:sz="4" w:space="0"/>
              <w:bottom w:val="single" w:color="000000" w:sz="4" w:space="0"/>
              <w:right w:val="single" w:color="000000" w:sz="4" w:space="0"/>
            </w:tcBorders>
            <w:shd w:val="clear"/>
            <w:vAlign w:val="center"/>
          </w:tcPr>
          <w:p w14:paraId="69D48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25B0EB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475B8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18B090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2671" w:type="pct"/>
            <w:gridSpan w:val="8"/>
            <w:tcBorders>
              <w:top w:val="single" w:color="000000" w:sz="4" w:space="0"/>
              <w:left w:val="single" w:color="000000" w:sz="4" w:space="0"/>
              <w:bottom w:val="single" w:color="000000" w:sz="4" w:space="0"/>
              <w:right w:val="single" w:color="000000" w:sz="4" w:space="0"/>
            </w:tcBorders>
            <w:shd w:val="clear"/>
            <w:vAlign w:val="center"/>
          </w:tcPr>
          <w:p w14:paraId="6A14A6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102" w:type="pct"/>
            <w:gridSpan w:val="7"/>
            <w:tcBorders>
              <w:top w:val="single" w:color="000000" w:sz="4" w:space="0"/>
              <w:left w:val="single" w:color="000000" w:sz="4" w:space="0"/>
              <w:bottom w:val="single" w:color="000000" w:sz="4" w:space="0"/>
              <w:right w:val="single" w:color="000000" w:sz="4" w:space="0"/>
            </w:tcBorders>
            <w:shd w:val="clear"/>
            <w:vAlign w:val="center"/>
          </w:tcPr>
          <w:p w14:paraId="22AC6C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76B0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4E4B48">
            <w:pPr>
              <w:jc w:val="center"/>
              <w:rPr>
                <w:rFonts w:hint="eastAsia" w:ascii="宋体" w:hAnsi="宋体" w:eastAsia="宋体" w:cs="宋体"/>
                <w:b/>
                <w:bCs/>
                <w:i w:val="0"/>
                <w:iCs w:val="0"/>
                <w:color w:val="000000"/>
                <w:sz w:val="18"/>
                <w:szCs w:val="18"/>
                <w:u w:val="none"/>
              </w:rPr>
            </w:pPr>
          </w:p>
        </w:tc>
        <w:tc>
          <w:tcPr>
            <w:tcW w:w="2671" w:type="pct"/>
            <w:gridSpan w:val="8"/>
            <w:tcBorders>
              <w:top w:val="single" w:color="000000" w:sz="4" w:space="0"/>
              <w:left w:val="single" w:color="000000" w:sz="4" w:space="0"/>
              <w:bottom w:val="single" w:color="000000" w:sz="4" w:space="0"/>
              <w:right w:val="single" w:color="000000" w:sz="4" w:space="0"/>
            </w:tcBorders>
            <w:shd w:val="clear"/>
            <w:vAlign w:val="center"/>
          </w:tcPr>
          <w:p w14:paraId="13352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目标1：紧紧围绕社会稳定和长治久安总目标，保障学院各项工作正常进行.使学院成为技能型紧缺人才培训基地，提升学院办学条件和质量，加快校企合作，扩大学院影响力。 目标2：保障学院教学物品及服务的采购次数，提升项目采购质量及服务水平，及时有效完成维修改造项目，使项目验收完成率达到100%，保障学院正常运转，提升全院教师满意度、学生满意度达到90%以上。</w:t>
            </w:r>
          </w:p>
        </w:tc>
        <w:tc>
          <w:tcPr>
            <w:tcW w:w="2102" w:type="pct"/>
            <w:gridSpan w:val="7"/>
            <w:tcBorders>
              <w:top w:val="single" w:color="000000" w:sz="4" w:space="0"/>
              <w:left w:val="single" w:color="000000" w:sz="4" w:space="0"/>
              <w:bottom w:val="single" w:color="000000" w:sz="4" w:space="0"/>
              <w:right w:val="single" w:color="000000" w:sz="4" w:space="0"/>
            </w:tcBorders>
            <w:shd w:val="clear"/>
            <w:vAlign w:val="center"/>
          </w:tcPr>
          <w:p w14:paraId="670C5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已全部完成</w:t>
            </w:r>
          </w:p>
        </w:tc>
      </w:tr>
      <w:tr w14:paraId="33659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2B93702B">
            <w:pPr>
              <w:jc w:val="center"/>
              <w:rPr>
                <w:rFonts w:hint="eastAsia" w:ascii="宋体" w:hAnsi="宋体" w:eastAsia="宋体" w:cs="宋体"/>
                <w:i w:val="0"/>
                <w:iCs w:val="0"/>
                <w:color w:val="000000"/>
                <w:sz w:val="18"/>
                <w:szCs w:val="18"/>
                <w:u w:val="none"/>
              </w:rPr>
            </w:pPr>
          </w:p>
        </w:tc>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08353F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6FF9C9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368" w:type="pct"/>
            <w:vMerge w:val="restart"/>
            <w:tcBorders>
              <w:top w:val="single" w:color="000000" w:sz="4" w:space="0"/>
              <w:left w:val="single" w:color="000000" w:sz="4" w:space="0"/>
              <w:bottom w:val="single" w:color="000000" w:sz="4" w:space="0"/>
              <w:right w:val="single" w:color="000000" w:sz="4" w:space="0"/>
            </w:tcBorders>
            <w:shd w:val="clear"/>
            <w:vAlign w:val="center"/>
          </w:tcPr>
          <w:p w14:paraId="780A3D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511" w:type="pct"/>
            <w:vMerge w:val="restart"/>
            <w:tcBorders>
              <w:top w:val="single" w:color="000000" w:sz="4" w:space="0"/>
              <w:left w:val="single" w:color="000000" w:sz="4" w:space="0"/>
              <w:bottom w:val="single" w:color="000000" w:sz="4" w:space="0"/>
              <w:right w:val="single" w:color="000000" w:sz="4" w:space="0"/>
            </w:tcBorders>
            <w:shd w:val="clear"/>
            <w:vAlign w:val="center"/>
          </w:tcPr>
          <w:p w14:paraId="74113A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559"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5F13FB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607" w:type="pct"/>
            <w:vMerge w:val="restart"/>
            <w:tcBorders>
              <w:top w:val="single" w:color="000000" w:sz="4" w:space="0"/>
              <w:left w:val="single" w:color="000000" w:sz="4" w:space="0"/>
              <w:bottom w:val="single" w:color="000000" w:sz="4" w:space="0"/>
              <w:right w:val="single" w:color="000000" w:sz="4" w:space="0"/>
            </w:tcBorders>
            <w:shd w:val="clear"/>
            <w:vAlign w:val="center"/>
          </w:tcPr>
          <w:p w14:paraId="2E6442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20"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18D935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511" w:type="pct"/>
            <w:vMerge w:val="restart"/>
            <w:tcBorders>
              <w:top w:val="single" w:color="000000" w:sz="4" w:space="0"/>
              <w:left w:val="single" w:color="000000" w:sz="4" w:space="0"/>
              <w:bottom w:val="single" w:color="000000" w:sz="4" w:space="0"/>
              <w:right w:val="single" w:color="000000" w:sz="4" w:space="0"/>
            </w:tcBorders>
            <w:shd w:val="clear"/>
            <w:vAlign w:val="center"/>
          </w:tcPr>
          <w:p w14:paraId="229F27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69990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6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8206D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245" w:type="pct"/>
            <w:vMerge w:val="restart"/>
            <w:tcBorders>
              <w:top w:val="single" w:color="000000" w:sz="4" w:space="0"/>
              <w:left w:val="single" w:color="000000" w:sz="4" w:space="0"/>
              <w:bottom w:val="single" w:color="000000" w:sz="4" w:space="0"/>
              <w:right w:val="single" w:color="000000" w:sz="4" w:space="0"/>
            </w:tcBorders>
            <w:shd w:val="clear"/>
            <w:vAlign w:val="center"/>
          </w:tcPr>
          <w:p w14:paraId="5A6816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234" w:type="pct"/>
            <w:vMerge w:val="restart"/>
            <w:tcBorders>
              <w:top w:val="single" w:color="000000" w:sz="4" w:space="0"/>
              <w:left w:val="single" w:color="000000" w:sz="4" w:space="0"/>
              <w:bottom w:val="single" w:color="000000" w:sz="4" w:space="0"/>
              <w:right w:val="single" w:color="000000" w:sz="4" w:space="0"/>
            </w:tcBorders>
            <w:shd w:val="clear"/>
            <w:vAlign w:val="center"/>
          </w:tcPr>
          <w:p w14:paraId="56D7F1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36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4FDDA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2316C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10DA240">
            <w:pPr>
              <w:jc w:val="center"/>
              <w:rPr>
                <w:rFonts w:hint="eastAsia" w:ascii="宋体" w:hAnsi="宋体" w:eastAsia="宋体" w:cs="宋体"/>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EEE1D5">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E337A2D">
            <w:pPr>
              <w:jc w:val="center"/>
              <w:rPr>
                <w:rFonts w:hint="eastAsia" w:ascii="宋体" w:hAnsi="宋体" w:eastAsia="宋体" w:cs="宋体"/>
                <w:b/>
                <w:bCs/>
                <w:i w:val="0"/>
                <w:iCs w:val="0"/>
                <w:color w:val="000000"/>
                <w:sz w:val="18"/>
                <w:szCs w:val="18"/>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05B3630">
            <w:pPr>
              <w:jc w:val="center"/>
              <w:rPr>
                <w:rFonts w:hint="eastAsia" w:ascii="宋体" w:hAnsi="宋体" w:eastAsia="宋体" w:cs="宋体"/>
                <w:b/>
                <w:bCs/>
                <w:i w:val="0"/>
                <w:iCs w:val="0"/>
                <w:color w:val="000000"/>
                <w:sz w:val="18"/>
                <w:szCs w:val="18"/>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D1DB00">
            <w:pPr>
              <w:jc w:val="center"/>
              <w:rPr>
                <w:rFonts w:hint="eastAsia" w:ascii="宋体" w:hAnsi="宋体" w:eastAsia="宋体" w:cs="宋体"/>
                <w:b/>
                <w:bCs/>
                <w:i w:val="0"/>
                <w:iCs w:val="0"/>
                <w:color w:val="000000"/>
                <w:sz w:val="18"/>
                <w:szCs w:val="18"/>
                <w:u w:val="none"/>
              </w:rPr>
            </w:pPr>
          </w:p>
        </w:tc>
        <w:tc>
          <w:tcPr>
            <w:tcW w:w="55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B23B16D">
            <w:pPr>
              <w:jc w:val="center"/>
              <w:rPr>
                <w:rFonts w:hint="eastAsia" w:ascii="宋体" w:hAnsi="宋体" w:eastAsia="宋体" w:cs="宋体"/>
                <w:b/>
                <w:bCs/>
                <w:i w:val="0"/>
                <w:iCs w:val="0"/>
                <w:color w:val="000000"/>
                <w:sz w:val="18"/>
                <w:szCs w:val="18"/>
                <w:u w:val="none"/>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372C04">
            <w:pPr>
              <w:jc w:val="center"/>
              <w:rPr>
                <w:rFonts w:hint="eastAsia" w:ascii="宋体" w:hAnsi="宋体" w:eastAsia="宋体" w:cs="宋体"/>
                <w:b/>
                <w:bCs/>
                <w:i w:val="0"/>
                <w:iCs w:val="0"/>
                <w:color w:val="000000"/>
                <w:sz w:val="18"/>
                <w:szCs w:val="18"/>
                <w:u w:val="none"/>
              </w:rPr>
            </w:pPr>
          </w:p>
        </w:tc>
        <w:tc>
          <w:tcPr>
            <w:tcW w:w="320"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37D6ED4">
            <w:pPr>
              <w:jc w:val="center"/>
              <w:rPr>
                <w:rFonts w:hint="eastAsia" w:ascii="宋体" w:hAnsi="宋体" w:eastAsia="宋体" w:cs="宋体"/>
                <w:b/>
                <w:bCs/>
                <w:i w:val="0"/>
                <w:iCs w:val="0"/>
                <w:color w:val="000000"/>
                <w:sz w:val="18"/>
                <w:szCs w:val="18"/>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E2AA5C">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82379E">
            <w:pPr>
              <w:jc w:val="center"/>
              <w:rPr>
                <w:rFonts w:hint="eastAsia" w:ascii="宋体" w:hAnsi="宋体" w:eastAsia="宋体" w:cs="宋体"/>
                <w:b/>
                <w:bCs/>
                <w:i w:val="0"/>
                <w:iCs w:val="0"/>
                <w:color w:val="000000"/>
                <w:sz w:val="18"/>
                <w:szCs w:val="18"/>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01527F1">
            <w:pPr>
              <w:jc w:val="center"/>
              <w:rPr>
                <w:rFonts w:hint="eastAsia" w:ascii="宋体" w:hAnsi="宋体" w:eastAsia="宋体" w:cs="宋体"/>
                <w:b/>
                <w:bCs/>
                <w:i w:val="0"/>
                <w:iCs w:val="0"/>
                <w:color w:val="000000"/>
                <w:sz w:val="18"/>
                <w:szCs w:val="18"/>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7DE964">
            <w:pPr>
              <w:jc w:val="center"/>
              <w:rPr>
                <w:rFonts w:hint="eastAsia" w:ascii="宋体" w:hAnsi="宋体" w:eastAsia="宋体" w:cs="宋体"/>
                <w:b/>
                <w:bCs/>
                <w:i w:val="0"/>
                <w:iCs w:val="0"/>
                <w:color w:val="000000"/>
                <w:sz w:val="18"/>
                <w:szCs w:val="18"/>
                <w:u w:val="none"/>
              </w:rPr>
            </w:pPr>
          </w:p>
        </w:tc>
        <w:tc>
          <w:tcPr>
            <w:tcW w:w="23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BDC5272">
            <w:pPr>
              <w:jc w:val="center"/>
              <w:rPr>
                <w:rFonts w:hint="eastAsia" w:ascii="宋体" w:hAnsi="宋体" w:eastAsia="宋体" w:cs="宋体"/>
                <w:b/>
                <w:bCs/>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4D5831">
            <w:pPr>
              <w:jc w:val="center"/>
              <w:rPr>
                <w:rFonts w:hint="eastAsia" w:ascii="宋体" w:hAnsi="宋体" w:eastAsia="宋体" w:cs="宋体"/>
                <w:b/>
                <w:bCs/>
                <w:i w:val="0"/>
                <w:iCs w:val="0"/>
                <w:color w:val="000000"/>
                <w:sz w:val="18"/>
                <w:szCs w:val="18"/>
                <w:u w:val="none"/>
              </w:rPr>
            </w:pPr>
          </w:p>
        </w:tc>
      </w:tr>
      <w:tr w14:paraId="06E8D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015F2C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1098F0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7F5A0E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3A9C32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设备采购数量</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FCDB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2C755D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&gt;=35批</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2C6474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=35批</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48914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1187E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BB4F0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E41C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0F0FF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138E8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52F83632">
            <w:pPr>
              <w:jc w:val="center"/>
              <w:rPr>
                <w:rFonts w:hint="eastAsia" w:ascii="宋体" w:hAnsi="宋体" w:eastAsia="宋体" w:cs="宋体"/>
                <w:i w:val="0"/>
                <w:iCs w:val="0"/>
                <w:color w:val="000000"/>
                <w:sz w:val="18"/>
                <w:szCs w:val="18"/>
                <w:u w:val="none"/>
              </w:rPr>
            </w:pPr>
          </w:p>
        </w:tc>
      </w:tr>
      <w:tr w14:paraId="0CDFB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BD3684">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2BE055">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4E32A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0BC4C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合作办学交流数量</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9E22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6AC542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&gt;=5个</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7CD91E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=5个</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73A17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10D0C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3DE3F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085FC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338DA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72EE8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32BD179E">
            <w:pPr>
              <w:jc w:val="center"/>
              <w:rPr>
                <w:rFonts w:hint="eastAsia" w:ascii="宋体" w:hAnsi="宋体" w:eastAsia="宋体" w:cs="宋体"/>
                <w:i w:val="0"/>
                <w:iCs w:val="0"/>
                <w:color w:val="000000"/>
                <w:sz w:val="18"/>
                <w:szCs w:val="18"/>
                <w:u w:val="none"/>
              </w:rPr>
            </w:pPr>
          </w:p>
        </w:tc>
      </w:tr>
      <w:tr w14:paraId="0BB8B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713079">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2B180EF">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33032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DA84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尾款支付次数</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06A924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4F971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&gt;=8次</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66F17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=8次</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265C7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546DF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6F100B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06179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3728C5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13B13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6FD95F25">
            <w:pPr>
              <w:jc w:val="center"/>
              <w:rPr>
                <w:rFonts w:hint="eastAsia" w:ascii="宋体" w:hAnsi="宋体" w:eastAsia="宋体" w:cs="宋体"/>
                <w:i w:val="0"/>
                <w:iCs w:val="0"/>
                <w:color w:val="000000"/>
                <w:sz w:val="18"/>
                <w:szCs w:val="18"/>
                <w:u w:val="none"/>
              </w:rPr>
            </w:pPr>
          </w:p>
        </w:tc>
      </w:tr>
      <w:tr w14:paraId="6225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384337">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80614CE">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12B8D1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0318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外聘教师人数</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25CA7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1C1AA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&gt;=70人</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1128E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=70人</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30901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0AA23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4E2374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3563A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5DCDF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550742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70404638">
            <w:pPr>
              <w:jc w:val="center"/>
              <w:rPr>
                <w:rFonts w:hint="eastAsia" w:ascii="宋体" w:hAnsi="宋体" w:eastAsia="宋体" w:cs="宋体"/>
                <w:i w:val="0"/>
                <w:iCs w:val="0"/>
                <w:color w:val="000000"/>
                <w:sz w:val="18"/>
                <w:szCs w:val="18"/>
                <w:u w:val="none"/>
              </w:rPr>
            </w:pPr>
          </w:p>
        </w:tc>
      </w:tr>
      <w:tr w14:paraId="0D084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754CF08">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80A9006">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215176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07B3C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勤工减学补助人数</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3879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407A8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&gt;=130人</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6F24B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=130人</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1517E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4C62B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7F95D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6ABCD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354BB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2B4CA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27856830">
            <w:pPr>
              <w:jc w:val="center"/>
              <w:rPr>
                <w:rFonts w:hint="eastAsia" w:ascii="宋体" w:hAnsi="宋体" w:eastAsia="宋体" w:cs="宋体"/>
                <w:i w:val="0"/>
                <w:iCs w:val="0"/>
                <w:color w:val="000000"/>
                <w:sz w:val="18"/>
                <w:szCs w:val="18"/>
                <w:u w:val="none"/>
              </w:rPr>
            </w:pPr>
          </w:p>
        </w:tc>
      </w:tr>
      <w:tr w14:paraId="1B12A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385531">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E6E18A">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44412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2E74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临时困难补助人数</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7FBA4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57E06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&gt;=400人</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2A9F4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=400人</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7DF3FC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1DDB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2872C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AC60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400人</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57DDE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6EDC06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7BFB423F">
            <w:pPr>
              <w:jc w:val="center"/>
              <w:rPr>
                <w:rFonts w:hint="eastAsia" w:ascii="宋体" w:hAnsi="宋体" w:eastAsia="宋体" w:cs="宋体"/>
                <w:i w:val="0"/>
                <w:iCs w:val="0"/>
                <w:color w:val="000000"/>
                <w:sz w:val="18"/>
                <w:szCs w:val="18"/>
                <w:u w:val="none"/>
              </w:rPr>
            </w:pPr>
          </w:p>
        </w:tc>
      </w:tr>
      <w:tr w14:paraId="77BF4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1B5238">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0B8BFF">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30008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E7C6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货物验收合格率</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5E7B4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047BF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3CC8B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3FACE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5E37D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0D8F3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E0A1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339A06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4239EF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13381BEF">
            <w:pPr>
              <w:jc w:val="center"/>
              <w:rPr>
                <w:rFonts w:hint="eastAsia" w:ascii="宋体" w:hAnsi="宋体" w:eastAsia="宋体" w:cs="宋体"/>
                <w:i w:val="0"/>
                <w:iCs w:val="0"/>
                <w:color w:val="000000"/>
                <w:sz w:val="18"/>
                <w:szCs w:val="18"/>
                <w:u w:val="none"/>
              </w:rPr>
            </w:pPr>
          </w:p>
        </w:tc>
      </w:tr>
      <w:tr w14:paraId="10B27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A94C0A">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D5FB24">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64BCC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32EE0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基建维修类项目验收合格率</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C5F7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634DD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37083F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66EC90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0CDE1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402EB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600B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7AF1E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6F4F6F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6F765E0D">
            <w:pPr>
              <w:jc w:val="center"/>
              <w:rPr>
                <w:rFonts w:hint="eastAsia" w:ascii="宋体" w:hAnsi="宋体" w:eastAsia="宋体" w:cs="宋体"/>
                <w:i w:val="0"/>
                <w:iCs w:val="0"/>
                <w:color w:val="000000"/>
                <w:sz w:val="18"/>
                <w:szCs w:val="18"/>
                <w:u w:val="none"/>
              </w:rPr>
            </w:pPr>
          </w:p>
        </w:tc>
      </w:tr>
      <w:tr w14:paraId="3BC93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4DD3F7">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C33F2B">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B5ED3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02EF8B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世行项目还本付息逾期天数</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2A29B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04AF5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&lt;=1天</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3F17F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&lt;=1天</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466B2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78BF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1292E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5BA0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185EC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2DD45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57252228">
            <w:pPr>
              <w:jc w:val="center"/>
              <w:rPr>
                <w:rFonts w:hint="eastAsia" w:ascii="宋体" w:hAnsi="宋体" w:eastAsia="宋体" w:cs="宋体"/>
                <w:i w:val="0"/>
                <w:iCs w:val="0"/>
                <w:color w:val="000000"/>
                <w:sz w:val="18"/>
                <w:szCs w:val="18"/>
                <w:u w:val="none"/>
              </w:rPr>
            </w:pPr>
          </w:p>
        </w:tc>
      </w:tr>
      <w:tr w14:paraId="706A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5532FB">
            <w:pPr>
              <w:jc w:val="center"/>
              <w:rPr>
                <w:rFonts w:hint="eastAsia" w:ascii="宋体" w:hAnsi="宋体" w:eastAsia="宋体" w:cs="宋体"/>
                <w:b/>
                <w:bCs/>
                <w:i w:val="0"/>
                <w:iCs w:val="0"/>
                <w:color w:val="000000"/>
                <w:sz w:val="18"/>
                <w:szCs w:val="18"/>
                <w:u w:val="none"/>
              </w:rPr>
            </w:pPr>
          </w:p>
        </w:tc>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5280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13255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455AE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勤工俭学补助标准</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102CB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49D86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=600-1000元/月</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0D44A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=600-1000/月</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6E0BA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FB04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D77D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027103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1958E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4738F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13284CE4">
            <w:pPr>
              <w:jc w:val="center"/>
              <w:rPr>
                <w:rFonts w:hint="eastAsia" w:ascii="宋体" w:hAnsi="宋体" w:eastAsia="宋体" w:cs="宋体"/>
                <w:i w:val="0"/>
                <w:iCs w:val="0"/>
                <w:color w:val="000000"/>
                <w:sz w:val="18"/>
                <w:szCs w:val="18"/>
                <w:u w:val="none"/>
              </w:rPr>
            </w:pPr>
          </w:p>
        </w:tc>
      </w:tr>
      <w:tr w14:paraId="37B0C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23EE6A">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B0F4FF">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6FBA1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8745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临时困难补助标准</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04D8C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4FD3E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=1000元/人</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0365B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=1000元/人</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79077F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F1A7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0B06D0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B8E3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455ED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直接赋分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247D7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5A4A9B17">
            <w:pPr>
              <w:jc w:val="center"/>
              <w:rPr>
                <w:rFonts w:hint="eastAsia" w:ascii="宋体" w:hAnsi="宋体" w:eastAsia="宋体" w:cs="宋体"/>
                <w:i w:val="0"/>
                <w:iCs w:val="0"/>
                <w:color w:val="000000"/>
                <w:sz w:val="18"/>
                <w:szCs w:val="18"/>
                <w:u w:val="none"/>
              </w:rPr>
            </w:pPr>
          </w:p>
        </w:tc>
      </w:tr>
      <w:tr w14:paraId="0CAB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7855F4">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B1DB5E">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3E28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C31A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学生伙食补助发放标准</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43D43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2038C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=20元/人/月</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21AA1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=20元/人/月</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3A9B0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4AA2B9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25A13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2C52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=20元/人/月</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7DCB94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直接赋分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0A0922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78523A40">
            <w:pPr>
              <w:jc w:val="center"/>
              <w:rPr>
                <w:rFonts w:hint="eastAsia" w:ascii="宋体" w:hAnsi="宋体" w:eastAsia="宋体" w:cs="宋体"/>
                <w:i w:val="0"/>
                <w:iCs w:val="0"/>
                <w:color w:val="000000"/>
                <w:sz w:val="18"/>
                <w:szCs w:val="18"/>
                <w:u w:val="none"/>
              </w:rPr>
            </w:pPr>
          </w:p>
        </w:tc>
      </w:tr>
      <w:tr w14:paraId="36B2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D0FAAA">
            <w:pPr>
              <w:jc w:val="center"/>
              <w:rPr>
                <w:rFonts w:hint="eastAsia" w:ascii="宋体" w:hAnsi="宋体" w:eastAsia="宋体" w:cs="宋体"/>
                <w:b/>
                <w:bCs/>
                <w:i w:val="0"/>
                <w:iCs w:val="0"/>
                <w:color w:val="000000"/>
                <w:sz w:val="18"/>
                <w:szCs w:val="18"/>
                <w:u w:val="none"/>
              </w:rPr>
            </w:pPr>
          </w:p>
        </w:tc>
        <w:tc>
          <w:tcPr>
            <w:tcW w:w="22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8666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28FBC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18ECC0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改善师生学习生活环境</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033CE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2ED83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09596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7A9AF2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E7DB5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FA48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16A14C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024CE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54AA01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246AA59F">
            <w:pPr>
              <w:jc w:val="center"/>
              <w:rPr>
                <w:rFonts w:hint="eastAsia" w:ascii="宋体" w:hAnsi="宋体" w:eastAsia="宋体" w:cs="宋体"/>
                <w:i w:val="0"/>
                <w:iCs w:val="0"/>
                <w:color w:val="000000"/>
                <w:sz w:val="18"/>
                <w:szCs w:val="18"/>
                <w:u w:val="none"/>
              </w:rPr>
            </w:pPr>
          </w:p>
        </w:tc>
      </w:tr>
      <w:tr w14:paraId="66052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402311">
            <w:pPr>
              <w:jc w:val="center"/>
              <w:rPr>
                <w:rFonts w:hint="eastAsia" w:ascii="宋体" w:hAnsi="宋体" w:eastAsia="宋体" w:cs="宋体"/>
                <w:b/>
                <w:bCs/>
                <w:i w:val="0"/>
                <w:iCs w:val="0"/>
                <w:color w:val="000000"/>
                <w:sz w:val="18"/>
                <w:szCs w:val="18"/>
                <w:u w:val="none"/>
              </w:rPr>
            </w:pPr>
          </w:p>
        </w:tc>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7BFD19">
            <w:pPr>
              <w:jc w:val="center"/>
              <w:rPr>
                <w:rFonts w:hint="eastAsia" w:ascii="宋体" w:hAnsi="宋体" w:eastAsia="宋体" w:cs="宋体"/>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7C40F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14A555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减轻学生经济负担</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F52C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65E07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有效减轻</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6D550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有效减轻</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24625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008243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57163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025B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510A1B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24107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56B387E2">
            <w:pPr>
              <w:jc w:val="center"/>
              <w:rPr>
                <w:rFonts w:hint="eastAsia" w:ascii="宋体" w:hAnsi="宋体" w:eastAsia="宋体" w:cs="宋体"/>
                <w:i w:val="0"/>
                <w:iCs w:val="0"/>
                <w:color w:val="000000"/>
                <w:sz w:val="18"/>
                <w:szCs w:val="18"/>
                <w:u w:val="none"/>
              </w:rPr>
            </w:pPr>
          </w:p>
        </w:tc>
      </w:tr>
      <w:tr w14:paraId="6CF5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B19814">
            <w:pPr>
              <w:jc w:val="center"/>
              <w:rPr>
                <w:rFonts w:hint="eastAsia" w:ascii="宋体" w:hAnsi="宋体" w:eastAsia="宋体" w:cs="宋体"/>
                <w:b/>
                <w:bCs/>
                <w:i w:val="0"/>
                <w:iCs w:val="0"/>
                <w:color w:val="000000"/>
                <w:sz w:val="18"/>
                <w:szCs w:val="18"/>
                <w:u w:val="none"/>
              </w:rPr>
            </w:pP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20C24B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64D9E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628E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学员满意度（%）</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14B1A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59" w:type="pct"/>
            <w:gridSpan w:val="2"/>
            <w:tcBorders>
              <w:top w:val="single" w:color="000000" w:sz="4" w:space="0"/>
              <w:left w:val="single" w:color="000000" w:sz="4" w:space="0"/>
              <w:bottom w:val="single" w:color="000000" w:sz="4" w:space="0"/>
              <w:right w:val="single" w:color="000000" w:sz="4" w:space="0"/>
            </w:tcBorders>
            <w:shd w:val="clear"/>
            <w:vAlign w:val="center"/>
          </w:tcPr>
          <w:p w14:paraId="6948B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4632D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60571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50E6E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0E954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A964D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31DC84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04893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694CCB4D">
            <w:pPr>
              <w:jc w:val="center"/>
              <w:rPr>
                <w:rFonts w:hint="eastAsia" w:ascii="宋体" w:hAnsi="宋体" w:eastAsia="宋体" w:cs="宋体"/>
                <w:i w:val="0"/>
                <w:iCs w:val="0"/>
                <w:color w:val="000000"/>
                <w:sz w:val="18"/>
                <w:szCs w:val="18"/>
                <w:u w:val="none"/>
              </w:rPr>
            </w:pPr>
          </w:p>
        </w:tc>
      </w:tr>
      <w:tr w14:paraId="349C9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45" w:type="pct"/>
            <w:gridSpan w:val="4"/>
            <w:tcBorders>
              <w:top w:val="single" w:color="000000" w:sz="4" w:space="0"/>
              <w:left w:val="single" w:color="000000" w:sz="4" w:space="0"/>
              <w:bottom w:val="single" w:color="000000" w:sz="4" w:space="0"/>
              <w:right w:val="nil"/>
            </w:tcBorders>
            <w:shd w:val="clear"/>
            <w:vAlign w:val="center"/>
          </w:tcPr>
          <w:p w14:paraId="2B3CF9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7A10E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59" w:type="pct"/>
            <w:gridSpan w:val="2"/>
            <w:tcBorders>
              <w:top w:val="single" w:color="000000" w:sz="4" w:space="0"/>
              <w:left w:val="nil"/>
              <w:bottom w:val="single" w:color="000000" w:sz="4" w:space="0"/>
              <w:right w:val="single" w:color="000000" w:sz="4" w:space="0"/>
            </w:tcBorders>
            <w:shd w:val="clear"/>
            <w:vAlign w:val="center"/>
          </w:tcPr>
          <w:p w14:paraId="3CF19DBB">
            <w:pPr>
              <w:rPr>
                <w:rFonts w:hint="eastAsia" w:ascii="宋体" w:hAnsi="宋体" w:eastAsia="宋体" w:cs="宋体"/>
                <w:b/>
                <w:bCs/>
                <w:i w:val="0"/>
                <w:iCs w:val="0"/>
                <w:color w:val="000000"/>
                <w:sz w:val="18"/>
                <w:szCs w:val="18"/>
                <w:u w:val="none"/>
              </w:rPr>
            </w:pPr>
          </w:p>
        </w:tc>
        <w:tc>
          <w:tcPr>
            <w:tcW w:w="607" w:type="pct"/>
            <w:tcBorders>
              <w:top w:val="single" w:color="000000" w:sz="4" w:space="0"/>
              <w:left w:val="single" w:color="000000" w:sz="4" w:space="0"/>
              <w:bottom w:val="single" w:color="000000" w:sz="4" w:space="0"/>
              <w:right w:val="single" w:color="000000" w:sz="4" w:space="0"/>
            </w:tcBorders>
            <w:shd w:val="clear"/>
            <w:vAlign w:val="center"/>
          </w:tcPr>
          <w:p w14:paraId="20A15877">
            <w:pPr>
              <w:jc w:val="center"/>
              <w:rPr>
                <w:rFonts w:hint="eastAsia" w:ascii="宋体" w:hAnsi="宋体" w:eastAsia="宋体" w:cs="宋体"/>
                <w:i w:val="0"/>
                <w:iCs w:val="0"/>
                <w:color w:val="000000"/>
                <w:sz w:val="18"/>
                <w:szCs w:val="18"/>
                <w:u w:val="none"/>
              </w:rPr>
            </w:pPr>
          </w:p>
        </w:tc>
        <w:tc>
          <w:tcPr>
            <w:tcW w:w="320" w:type="pct"/>
            <w:gridSpan w:val="2"/>
            <w:tcBorders>
              <w:top w:val="single" w:color="000000" w:sz="4" w:space="0"/>
              <w:left w:val="single" w:color="000000" w:sz="4" w:space="0"/>
              <w:bottom w:val="single" w:color="000000" w:sz="4" w:space="0"/>
              <w:right w:val="single" w:color="000000" w:sz="4" w:space="0"/>
            </w:tcBorders>
            <w:shd w:val="clear"/>
            <w:vAlign w:val="center"/>
          </w:tcPr>
          <w:p w14:paraId="1C39C8A2">
            <w:pPr>
              <w:jc w:val="center"/>
              <w:rPr>
                <w:rFonts w:hint="eastAsia" w:ascii="宋体" w:hAnsi="宋体" w:eastAsia="宋体" w:cs="宋体"/>
                <w:i w:val="0"/>
                <w:iCs w:val="0"/>
                <w:color w:val="000000"/>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vAlign w:val="center"/>
          </w:tcPr>
          <w:p w14:paraId="38AA9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100.00分</w:t>
            </w:r>
          </w:p>
        </w:tc>
        <w:tc>
          <w:tcPr>
            <w:tcW w:w="225" w:type="pct"/>
            <w:tcBorders>
              <w:top w:val="single" w:color="000000" w:sz="4" w:space="0"/>
              <w:left w:val="single" w:color="000000" w:sz="4" w:space="0"/>
              <w:bottom w:val="single" w:color="000000" w:sz="4" w:space="0"/>
              <w:right w:val="single" w:color="000000" w:sz="4" w:space="0"/>
            </w:tcBorders>
            <w:shd w:val="clear"/>
            <w:vAlign w:val="center"/>
          </w:tcPr>
          <w:p w14:paraId="3CC08F8B">
            <w:pP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64FBE889">
            <w:pPr>
              <w:rPr>
                <w:rFonts w:hint="eastAsia" w:ascii="宋体" w:hAnsi="宋体" w:eastAsia="宋体" w:cs="宋体"/>
                <w:i w:val="0"/>
                <w:iCs w:val="0"/>
                <w:color w:val="000000"/>
                <w:sz w:val="18"/>
                <w:szCs w:val="18"/>
                <w:u w:val="none"/>
              </w:rPr>
            </w:pPr>
          </w:p>
        </w:tc>
        <w:tc>
          <w:tcPr>
            <w:tcW w:w="245" w:type="pct"/>
            <w:tcBorders>
              <w:top w:val="single" w:color="000000" w:sz="4" w:space="0"/>
              <w:left w:val="single" w:color="000000" w:sz="4" w:space="0"/>
              <w:bottom w:val="single" w:color="000000" w:sz="4" w:space="0"/>
              <w:right w:val="single" w:color="000000" w:sz="4" w:space="0"/>
            </w:tcBorders>
            <w:shd w:val="clear"/>
            <w:vAlign w:val="center"/>
          </w:tcPr>
          <w:p w14:paraId="058D4408">
            <w:pPr>
              <w:rPr>
                <w:rFonts w:hint="eastAsia" w:ascii="宋体" w:hAnsi="宋体" w:eastAsia="宋体" w:cs="宋体"/>
                <w:i w:val="0"/>
                <w:iCs w:val="0"/>
                <w:color w:val="000000"/>
                <w:sz w:val="18"/>
                <w:szCs w:val="18"/>
                <w:u w:val="none"/>
              </w:rPr>
            </w:pPr>
          </w:p>
        </w:tc>
        <w:tc>
          <w:tcPr>
            <w:tcW w:w="234" w:type="pct"/>
            <w:tcBorders>
              <w:top w:val="single" w:color="000000" w:sz="4" w:space="0"/>
              <w:left w:val="single" w:color="000000" w:sz="4" w:space="0"/>
              <w:bottom w:val="single" w:color="000000" w:sz="4" w:space="0"/>
              <w:right w:val="single" w:color="000000" w:sz="4" w:space="0"/>
            </w:tcBorders>
            <w:shd w:val="clear"/>
            <w:vAlign w:val="center"/>
          </w:tcPr>
          <w:p w14:paraId="4C53A5DB">
            <w:pPr>
              <w:rPr>
                <w:rFonts w:hint="eastAsia" w:ascii="宋体" w:hAnsi="宋体" w:eastAsia="宋体" w:cs="宋体"/>
                <w:i w:val="0"/>
                <w:iCs w:val="0"/>
                <w:color w:val="000000"/>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shd w:val="clear"/>
            <w:vAlign w:val="center"/>
          </w:tcPr>
          <w:p w14:paraId="755F20BD">
            <w:pPr>
              <w:rPr>
                <w:rFonts w:hint="eastAsia" w:ascii="宋体" w:hAnsi="宋体" w:eastAsia="宋体" w:cs="宋体"/>
                <w:i w:val="0"/>
                <w:iCs w:val="0"/>
                <w:color w:val="000000"/>
                <w:sz w:val="18"/>
                <w:szCs w:val="18"/>
                <w:u w:val="none"/>
              </w:rPr>
            </w:pPr>
          </w:p>
        </w:tc>
      </w:tr>
    </w:tbl>
    <w:p w14:paraId="5789D0EB">
      <w:pPr>
        <w:sectPr>
          <w:type w:val="continuous"/>
          <w:pgSz w:w="11906" w:h="16838"/>
          <w:pgMar w:top="1440" w:right="1800" w:bottom="1440" w:left="1800" w:header="851" w:footer="992" w:gutter="0"/>
          <w:cols w:space="720" w:num="1"/>
          <w:docGrid w:type="lines" w:linePitch="312" w:charSpace="0"/>
        </w:sectPr>
      </w:pPr>
    </w:p>
    <w:p w14:paraId="5BFCC444">
      <w:pPr>
        <w:spacing w:line="640" w:lineRule="exact"/>
        <w:ind w:firstLine="640"/>
        <w:jc w:val="both"/>
        <w:outlineLvl w:val="2"/>
      </w:pPr>
      <w:r>
        <w:rPr>
          <w:rFonts w:ascii="黑体" w:hAnsi="黑体" w:eastAsia="黑体"/>
          <w:sz w:val="32"/>
        </w:rPr>
        <w:t>十二、其他需说明的事项</w:t>
      </w:r>
    </w:p>
    <w:p w14:paraId="1F696D65">
      <w:pPr>
        <w:spacing w:line="580" w:lineRule="exact"/>
        <w:ind w:firstLine="640"/>
        <w:jc w:val="both"/>
      </w:pPr>
      <w:r>
        <w:rPr>
          <w:rFonts w:ascii="仿宋_GB2312" w:hAnsi="仿宋_GB2312" w:eastAsia="仿宋_GB2312"/>
          <w:b w:val="0"/>
          <w:sz w:val="32"/>
        </w:rPr>
        <w:t>本单位无其他需说明的事项。</w:t>
      </w:r>
    </w:p>
    <w:p w14:paraId="7D5622F7">
      <w:r>
        <w:br w:type="page"/>
      </w:r>
    </w:p>
    <w:p w14:paraId="0BA32A26">
      <w:pPr>
        <w:spacing w:line="600" w:lineRule="exact"/>
        <w:jc w:val="center"/>
        <w:outlineLvl w:val="0"/>
      </w:pPr>
      <w:r>
        <w:rPr>
          <w:rFonts w:ascii="黑体" w:hAnsi="黑体" w:eastAsia="黑体"/>
          <w:sz w:val="32"/>
        </w:rPr>
        <w:t>第三部分 专业名词解释</w:t>
      </w:r>
    </w:p>
    <w:p w14:paraId="2D43462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185073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A0CC83">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33D9DE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9699F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4B08302">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89A122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81EF3E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93B652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3801B43">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2B8BC7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25162CE">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456B21B">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C424C5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AAED665">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11EEF9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6A18D3F">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6C4AD40">
      <w:r>
        <w:br w:type="page"/>
      </w:r>
    </w:p>
    <w:p w14:paraId="679B8BD4">
      <w:pPr>
        <w:spacing w:line="240" w:lineRule="auto"/>
        <w:jc w:val="center"/>
        <w:outlineLvl w:val="1"/>
      </w:pPr>
      <w:r>
        <w:rPr>
          <w:rFonts w:ascii="黑体" w:hAnsi="黑体" w:eastAsia="黑体"/>
          <w:sz w:val="32"/>
        </w:rPr>
        <w:t>第四部分 部门决算报表（见附表）</w:t>
      </w:r>
    </w:p>
    <w:p w14:paraId="42122AC8">
      <w:pPr>
        <w:autoSpaceDE w:val="0"/>
        <w:autoSpaceDN w:val="0"/>
        <w:spacing w:line="600" w:lineRule="exact"/>
        <w:ind w:firstLine="640" w:firstLineChars="200"/>
      </w:pPr>
      <w:r>
        <w:rPr>
          <w:rFonts w:ascii="仿宋_GB2312" w:hAnsi="仿宋_GB2312" w:eastAsia="仿宋_GB2312"/>
          <w:b w:val="0"/>
          <w:sz w:val="32"/>
        </w:rPr>
        <w:t>一、《收入支出决算总表》</w:t>
      </w:r>
    </w:p>
    <w:p w14:paraId="56B0CE4C">
      <w:pPr>
        <w:autoSpaceDE w:val="0"/>
        <w:autoSpaceDN w:val="0"/>
        <w:spacing w:line="600" w:lineRule="exact"/>
        <w:ind w:firstLine="640" w:firstLineChars="200"/>
      </w:pPr>
      <w:r>
        <w:rPr>
          <w:rFonts w:ascii="仿宋_GB2312" w:hAnsi="仿宋_GB2312" w:eastAsia="仿宋_GB2312"/>
          <w:b w:val="0"/>
          <w:sz w:val="32"/>
        </w:rPr>
        <w:t>二、《收入决算表》</w:t>
      </w:r>
    </w:p>
    <w:p w14:paraId="0CFBE30F">
      <w:pPr>
        <w:autoSpaceDE w:val="0"/>
        <w:autoSpaceDN w:val="0"/>
        <w:spacing w:line="600" w:lineRule="exact"/>
        <w:ind w:firstLine="640" w:firstLineChars="200"/>
      </w:pPr>
      <w:r>
        <w:rPr>
          <w:rFonts w:ascii="仿宋_GB2312" w:hAnsi="仿宋_GB2312" w:eastAsia="仿宋_GB2312"/>
          <w:b w:val="0"/>
          <w:sz w:val="32"/>
        </w:rPr>
        <w:t>三、《支出决算表》</w:t>
      </w:r>
    </w:p>
    <w:p w14:paraId="1B13A93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5D83CE2">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178928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21BFBD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9A8A76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195F38A">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E6AEB1D">
      <w:pPr>
        <w:autoSpaceDE w:val="0"/>
        <w:autoSpaceDN w:val="0"/>
        <w:spacing w:line="600" w:lineRule="exact"/>
        <w:ind w:firstLine="640" w:firstLineChars="200"/>
      </w:pPr>
    </w:p>
    <w:p w14:paraId="52637D91">
      <w:pPr>
        <w:autoSpaceDE w:val="0"/>
        <w:autoSpaceDN w:val="0"/>
        <w:spacing w:line="600" w:lineRule="exact"/>
        <w:ind w:firstLine="640" w:firstLineChars="200"/>
      </w:pPr>
    </w:p>
    <w:p w14:paraId="0DDA536B">
      <w:pPr>
        <w:autoSpaceDE w:val="0"/>
        <w:autoSpaceDN w:val="0"/>
        <w:spacing w:line="600" w:lineRule="exact"/>
        <w:ind w:firstLine="640" w:firstLineChars="200"/>
      </w:pPr>
    </w:p>
    <w:p w14:paraId="2491E67D">
      <w:pPr>
        <w:autoSpaceDE w:val="0"/>
        <w:autoSpaceDN w:val="0"/>
        <w:spacing w:line="600" w:lineRule="exact"/>
        <w:ind w:firstLine="640" w:firstLineChars="200"/>
      </w:pPr>
    </w:p>
    <w:p w14:paraId="2D45F39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2C3B16-68BF-4AEF-B61D-5E517255DD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19F5D96-C5BE-4501-84AB-7257C2AE591B}"/>
  </w:font>
  <w:font w:name="仿宋_GB2312">
    <w:panose1 w:val="02010609030101010101"/>
    <w:charset w:val="86"/>
    <w:family w:val="modern"/>
    <w:pitch w:val="default"/>
    <w:sig w:usb0="00000001" w:usb1="080E0000" w:usb2="00000000" w:usb3="00000000" w:csb0="00040000" w:csb1="00000000"/>
    <w:embedRegular r:id="rId3" w:fontKey="{964F8530-312F-4444-B727-94BE098326FC}"/>
  </w:font>
  <w:font w:name="楷体_GB2312">
    <w:altName w:val="楷体"/>
    <w:panose1 w:val="00000000000000000000"/>
    <w:charset w:val="00"/>
    <w:family w:val="auto"/>
    <w:pitch w:val="default"/>
    <w:sig w:usb0="00000000" w:usb1="00000000" w:usb2="00000000" w:usb3="00000000" w:csb0="00000000" w:csb1="00000000"/>
    <w:embedRegular r:id="rId4" w:fontKey="{C31AC2D5-250C-4DD9-8992-0190136E11F7}"/>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047DFC"/>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705C87"/>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7c0d85b7-261f-4df8-a7c1-331811b1d7a1</errorID>
      <errorWord>职业技能培训</errorWord>
      <group>L1_Sensitive</group>
      <groupName>敏感问题</groupName>
      <ability>L2_UserSensitive</ability>
      <abilityName>自定义敏感词</abilityName>
      <candidateList/>
      <explain>来自自定义敏感词库。</explain>
      <paraID>2C2B83B7</paraID>
      <start>13</start>
      <end>19</end>
      <status>ignored</status>
      <modifiedWord/>
      <trackRevisions>false</trackRevisions>
    </reviewItem>
    <reviewItem>
      <errorID>9136e0a9-a73b-4555-8511-7b5c4e9e8e67</errorID>
      <errorWord>维稳</errorWord>
      <group>L1_Sensitive</group>
      <groupName>敏感问题</groupName>
      <ability>L2_UserSensitive</ability>
      <abilityName>自定义敏感词</abilityName>
      <candidateList/>
      <explain>来自自定义敏感词库。</explain>
      <paraID>5061E480</paraID>
      <start>43</start>
      <end>45</end>
      <status>ignored</status>
      <modifiedWord/>
      <trackRevisions>false</trackRevisions>
    </reviewItem>
    <reviewItem>
      <errorID>fbfc7ec3-3e4e-47a5-bbae-bb85c522be18</errorID>
      <errorWord>监控</errorWord>
      <group>L1_Sensitive</group>
      <groupName>敏感问题</groupName>
      <ability>L2_UserSensitive</ability>
      <abilityName>自定义敏感词</abilityName>
      <candidateList/>
      <explain>来自自定义敏感词库。</explain>
      <paraID>6CDAE817</paraID>
      <start>14</start>
      <end>16</end>
      <status>ignored</status>
      <modifiedWord/>
      <trackRevisions>false</trackRevisions>
    </reviewItem>
    <reviewItem>
      <errorID>d4f870ae-a92e-434e-8b96-bed2d399f013</errorID>
      <errorWord>欠款</errorWord>
      <group>L1_Sensitive</group>
      <groupName>敏感问题</groupName>
      <ability>L2_UserSensitive</ability>
      <abilityName>自定义敏感词</abilityName>
      <candidateList/>
      <explain>来自自定义敏感词库。</explain>
      <paraID>14F0A97E</paraID>
      <start>48</start>
      <end>50</end>
      <status>ignored</status>
      <modifiedWord/>
      <trackRevisions>false</trackRevisions>
    </reviewItem>
    <reviewItem>
      <errorID>eac0f404-a530-400e-9a06-4f22896d0ac6</errorID>
      <errorWord>职业技能培训</errorWord>
      <group>L1_Sensitive</group>
      <groupName>敏感问题</groupName>
      <ability>L2_UserSensitive</ability>
      <abilityName>自定义敏感词</abilityName>
      <candidateList/>
      <explain>来自自定义敏感词库。</explain>
      <paraID>3211A854</paraID>
      <start>87</start>
      <end>93</end>
      <status>ignored</status>
      <modifiedWord/>
      <trackRevisions>false</trackRevisions>
    </reviewItem>
    <reviewItem>
      <errorID>69875a41-736b-4570-b124-23c0f0f4e2bc</errorID>
      <errorWord>叫</errorWord>
      <group>L1_Word</group>
      <groupName>字词问题</groupName>
      <ability>L2_Typo</ability>
      <abilityName>字词错误</abilityName>
      <candidateList>
        <item>较</item>
      </candidateList>
      <explain/>
      <paraID>33270894</paraID>
      <start>88</start>
      <end>89</end>
      <status>modified</status>
      <modifiedWord>较</modifiedWord>
      <trackRevisions>false</trackRevisions>
    </reviewItem>
    <reviewItem>
      <errorID>e309e130-1054-43c1-ac24-3ba3fb521b79</errorID>
      <errorWord>-</errorWord>
      <group>L1_Format</group>
      <groupName>格式问题</groupName>
      <ability>L2_HalfPunc_CN</ability>
      <abilityName>全半角问题</abilityName>
      <candidateList>
        <item>－</item>
      </candidateList>
      <explain>文本全半角错误。</explain>
      <paraID>7686B54E</paraID>
      <start>102</start>
      <end>103</end>
      <status>modified</status>
      <modifiedWord>－</modifiedWord>
      <trackRevisions>false</trackRevisions>
    </reviewItem>
    <reviewItem>
      <errorID>1f59ae1f-04d4-42aa-88ba-086623f4d268</errorID>
      <errorWord>-</errorWord>
      <group>L1_Format</group>
      <groupName>格式问题</groupName>
      <ability>L2_HalfPunc_CN</ability>
      <abilityName>全半角问题</abilityName>
      <candidateList>
        <item>－</item>
      </candidateList>
      <explain>文本全半角错误。</explain>
      <paraID>41CFB511</paraID>
      <start>130</start>
      <end>131</end>
      <status>modified</status>
      <modifiedWord>－</modifiedWord>
      <trackRevisions>false</trackRevisions>
    </reviewItem>
    <reviewItem>
      <errorID>529244d5-fcd8-4268-9128-a39c8f5ad7db</errorID>
      <errorWord>-</errorWord>
      <group>L1_Format</group>
      <groupName>格式问题</groupName>
      <ability>L2_HalfPunc_CN</ability>
      <abilityName>全半角问题</abilityName>
      <candidateList>
        <item>－</item>
      </candidateList>
      <explain>文本全半角错误。</explain>
      <paraID>41CFB511</paraID>
      <start>157</start>
      <end>158</end>
      <status>modified</status>
      <modifiedWord>－</modifiedWord>
      <trackRevisions>false</trackRevisions>
    </reviewItem>
    <reviewItem>
      <errorID>fc2415a9-111b-4b32-ab14-ac2b9dc36159</errorID>
      <errorWord>2月31日</errorWord>
      <group>L1_Sensitive</group>
      <groupName>敏感问题</groupName>
      <ability>L2_UserSensitive</ability>
      <abilityName>自定义敏感词</abilityName>
      <candidateList/>
      <explain>来自自定义敏感词库。</explain>
      <paraID>335B4E5E</paraID>
      <start>8</start>
      <end>13</end>
      <status>ignored</status>
      <modifiedWord/>
      <trackRevisions>false</trackRevisions>
    </reviewItem>
    <reviewItem>
      <errorID>b9b5c7d3-a74a-40e7-beaa-9a09c56b77b1</errorID>
      <errorWord>监控</errorWord>
      <group>L1_Sensitive</group>
      <groupName>敏感问题</groupName>
      <ability>L2_UserSensitive</ability>
      <abilityName>自定义敏感词</abilityName>
      <candidateList/>
      <explain>来自自定义敏感词库。</explain>
      <paraID> E0BC013</paraID>
      <start>131</start>
      <end>133</end>
      <status>ignored</status>
      <modifiedWord/>
      <trackRevisions>false</trackRevisions>
    </reviewItem>
    <reviewItem>
      <errorID>6495ff89-129f-40d9-a362-dbf3c0ac751d</errorID>
      <errorWord>限</errorWord>
      <group>L1_Word</group>
      <groupName>字词问题</groupName>
      <ability>L2_Typo</ability>
      <abilityName>字词错误</abilityName>
      <candidateList>
        <item>限内</item>
      </candidateList>
      <explain/>
      <paraID> E0BC013</paraID>
      <start>196</start>
      <end>198</end>
      <status>modified</status>
      <modifiedWord>限内</modifiedWord>
      <trackRevisions>false</trackRevisions>
    </reviewItem>
    <reviewItem>
      <errorID>cc9ae92c-240a-4391-81c5-a4e310dfb2ef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F52AEFC</paraID>
      <start>0</start>
      <end>2</end>
      <status>ignored</status>
      <modifiedWord/>
      <trackRevisions>false</trackRevisions>
    </reviewItem>
    <reviewItem>
      <errorID>63874db7-eee9-4068-b686-477db91d5e39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F52AEFC</paraID>
      <start>16</start>
      <end>18</end>
      <status>ignored</status>
      <modifiedWord/>
      <trackRevisions>false</trackRevisions>
    </reviewItem>
    <reviewItem>
      <errorID>9d655902-8e84-42bd-b5d9-bbf1700348cc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F52AEFC</paraID>
      <start>38</start>
      <end>40</end>
      <status>ignored</status>
      <modifiedWord/>
      <trackRevisions>false</trackRevisions>
    </reviewItem>
    <reviewItem>
      <errorID>222faa29-c4ab-4f05-bf18-a1a1853d853b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F52AEFC</paraID>
      <start>58</start>
      <end>60</end>
      <status>ignored</status>
      <modifiedWord/>
      <trackRevisions>false</trackRevisions>
    </reviewItem>
    <reviewItem>
      <errorID>9e605fad-d386-4966-995f-d1904985065f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F52AEFC</paraID>
      <start>86</start>
      <end>88</end>
      <status>ignored</status>
      <modifiedWord/>
      <trackRevisions>false</trackRevisions>
    </reviewItem>
    <reviewItem>
      <errorID>aa29052b-e351-4d58-bae8-e9987443e3a7</errorID>
      <errorWord>缓解</errorWord>
      <group>L1_Grammar</group>
      <groupName>语法问题</groupName>
      <ability>L2_Grammar</ability>
      <abilityName>语法错误</abilityName>
      <candidateList>
        <item>减轻</item>
      </candidateList>
      <explain>“缓解～负担”搭配不当，建议修改为“减轻～负担”。</explain>
      <paraID>5E2E6811</paraID>
      <start>159</start>
      <end>161</end>
      <status>ignored</status>
      <modifiedWord/>
      <trackRevisions>false</trackRevisions>
    </reviewItem>
    <reviewItem>
      <errorID>3a1c9cc9-7629-4df3-9716-a4f00a339cf9</errorID>
      <errorWord>万</errorWord>
      <group>L1_Word</group>
      <groupName>字词问题</groupName>
      <ability>L2_Typo</ability>
      <abilityName>字词错误</abilityName>
      <candidateList>
        <item>万元</item>
      </candidateList>
      <explain/>
      <paraID>703EAE88</paraID>
      <start>3</start>
      <end>5</end>
      <status>modified</status>
      <modifiedWord>万元</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11d10f-592a-45c0-9ba7-a7720df7435e}">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7811</Words>
  <Characters>8916</Characters>
  <Lines>10</Lines>
  <Paragraphs>2</Paragraphs>
  <TotalTime>1</TotalTime>
  <ScaleCrop>false</ScaleCrop>
  <LinksUpToDate>false</LinksUpToDate>
  <CharactersWithSpaces>8926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2026-09-03T04:30:24Z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