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新疆农业职业技术大学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E17556E">
      <w:r>
        <w:br w:type="page"/>
      </w:r>
    </w:p>
    <w:p w14:paraId="21E1CAB1">
      <w:pPr>
        <w:spacing w:line="640" w:lineRule="exact"/>
        <w:jc w:val="center"/>
        <w:outlineLvl w:val="1"/>
      </w:pPr>
      <w:r>
        <w:rPr>
          <w:rFonts w:ascii="黑体" w:hAnsi="黑体" w:eastAsia="黑体"/>
          <w:sz w:val="32"/>
        </w:rPr>
        <w:t>第一部分 单位概况</w:t>
      </w:r>
    </w:p>
    <w:p w14:paraId="18EABA70">
      <w:pPr>
        <w:spacing w:line="640" w:lineRule="exact"/>
        <w:ind w:firstLine="640"/>
        <w:jc w:val="both"/>
        <w:outlineLvl w:val="2"/>
      </w:pPr>
      <w:r>
        <w:rPr>
          <w:rFonts w:ascii="黑体" w:hAnsi="黑体" w:eastAsia="黑体"/>
          <w:sz w:val="32"/>
        </w:rPr>
        <w:t>一、主要职能</w:t>
      </w:r>
    </w:p>
    <w:p w14:paraId="002826EE">
      <w:pPr>
        <w:spacing w:line="580" w:lineRule="exact"/>
        <w:ind w:firstLine="640"/>
        <w:jc w:val="both"/>
      </w:pPr>
      <w:r>
        <w:rPr>
          <w:rFonts w:ascii="仿宋_GB2312" w:hAnsi="仿宋_GB2312" w:eastAsia="仿宋_GB2312"/>
          <w:sz w:val="32"/>
        </w:rPr>
        <w:t>新疆农业职业技术大学是一所公办本科层次职业学校。学校前身是创建于1958年的昌吉州合作干部学校，2000年升格为新疆农业职业技术学院。2024年6月，教育部批准以新疆农业职业技术学院为基础设立新疆农业职业技术大学，学校成为新疆首所公办本科层次职业学校。2006年学校被教育部、财政部确定为全国首批28所“国家示范性高等职业院校建设单位”，并于2009年以优异成绩通过验收。学校是新疆首批“高等职业教育与本科教育联合培养应用本科人才”试点高职院校。2019年被教育部认定为“优质专科高等职业院校”，被教育部、财政部列为“中国特色高水平高职学校和专业建设计划建设单位”。2021年被农业农村部、教育部认定为“全国百所乡村振兴人才培养优质校”。学校先后荣获“全国职业教育先进单位”“全国创先争优先进基层党组织”“黄炎培职业教育优秀学校”“全国三八红旗集体”“全国先进关工委集体”“全国百所德育科研名校”“全国高校毕业生就业典型经验高校”“全国实践育人创新创业基地”“全国民主管理先进单位”“教育部现代学徒制试点单位”“全国职业院校教学管理50强”“学生管理50强”“实习管理50强”。入选全国第一批示范性职业教育集团（联盟）、职业教育示范性虚拟仿真实训基地培育项目和全国首批职业院校长培训培育基地，是全国高职院校教师发展指数优秀院校。长期位居全国涉农高职院校前列，是新疆职业教育的一面旗帜。学校占地面积6000余亩，设有昌吉校区和乌鲁木齐校区，交通便利，均处乌鲁木齐国际机场、高铁站30公里交通圈内。乌昌地处亚欧大陆中心，是新疆经济发展的核心增长极，上市公司及规模以上企业云集，为学校深化产教融合、校企合作提供了广阔的平台，是广大学子实习、就业“双基地”。</w:t>
      </w:r>
    </w:p>
    <w:p w14:paraId="7C9DEAB4">
      <w:pPr>
        <w:spacing w:line="640" w:lineRule="exact"/>
        <w:ind w:firstLine="640"/>
        <w:jc w:val="both"/>
        <w:outlineLvl w:val="2"/>
      </w:pPr>
      <w:r>
        <w:rPr>
          <w:rFonts w:ascii="黑体" w:hAnsi="黑体" w:eastAsia="黑体"/>
          <w:sz w:val="32"/>
        </w:rPr>
        <w:t>二、机构设置</w:t>
      </w:r>
    </w:p>
    <w:p w14:paraId="3994D2E3">
      <w:pPr>
        <w:spacing w:line="580" w:lineRule="exact"/>
        <w:ind w:firstLine="640"/>
        <w:jc w:val="both"/>
      </w:pPr>
      <w:r>
        <w:rPr>
          <w:rFonts w:ascii="仿宋_GB2312" w:hAnsi="仿宋_GB2312" w:eastAsia="仿宋_GB2312"/>
          <w:sz w:val="32"/>
        </w:rPr>
        <w:t>新疆农业职业技术大学无下属预算单位。</w:t>
      </w:r>
    </w:p>
    <w:p w14:paraId="4232E93C">
      <w:r>
        <w:br w:type="page"/>
      </w:r>
    </w:p>
    <w:p w14:paraId="55C5709B">
      <w:pPr>
        <w:spacing w:line="240" w:lineRule="auto"/>
        <w:jc w:val="center"/>
        <w:outlineLvl w:val="1"/>
      </w:pPr>
      <w:r>
        <w:rPr>
          <w:rFonts w:ascii="黑体" w:hAnsi="黑体" w:eastAsia="黑体"/>
          <w:sz w:val="32"/>
        </w:rPr>
        <w:t>第二部分 部门决算情况说明</w:t>
      </w:r>
    </w:p>
    <w:p w14:paraId="50C908C1">
      <w:pPr>
        <w:spacing w:line="640" w:lineRule="exact"/>
        <w:ind w:firstLine="640"/>
        <w:jc w:val="both"/>
        <w:outlineLvl w:val="2"/>
      </w:pPr>
      <w:r>
        <w:rPr>
          <w:rFonts w:ascii="黑体" w:hAnsi="黑体" w:eastAsia="黑体"/>
          <w:sz w:val="32"/>
        </w:rPr>
        <w:t>一、收入支出决算总体情况说明</w:t>
      </w:r>
    </w:p>
    <w:p w14:paraId="754127BE">
      <w:pPr>
        <w:spacing w:line="580" w:lineRule="exact"/>
        <w:ind w:firstLine="640"/>
        <w:jc w:val="both"/>
      </w:pPr>
      <w:r>
        <w:rPr>
          <w:rFonts w:ascii="仿宋_GB2312" w:hAnsi="仿宋_GB2312" w:eastAsia="仿宋_GB2312"/>
          <w:b/>
          <w:sz w:val="32"/>
        </w:rPr>
        <w:t>2025年度收入总计56,215.05万元，</w:t>
      </w:r>
      <w:r>
        <w:rPr>
          <w:rFonts w:ascii="仿宋_GB2312" w:hAnsi="仿宋_GB2312" w:eastAsia="仿宋_GB2312"/>
          <w:b w:val="0"/>
          <w:sz w:val="32"/>
        </w:rPr>
        <w:t>其中：本年收入合计50,463.60万元，使用非财政拨款结余（含专用结余）0.00万元，年初结转和结余5,751.45万元。</w:t>
      </w:r>
    </w:p>
    <w:p w14:paraId="33F90D41">
      <w:pPr>
        <w:spacing w:line="580" w:lineRule="exact"/>
        <w:ind w:firstLine="640"/>
        <w:jc w:val="both"/>
      </w:pPr>
      <w:r>
        <w:rPr>
          <w:rFonts w:ascii="仿宋_GB2312" w:hAnsi="仿宋_GB2312" w:eastAsia="仿宋_GB2312"/>
          <w:b/>
          <w:sz w:val="32"/>
        </w:rPr>
        <w:t>2025年度支出总计56,215.05万元，</w:t>
      </w:r>
      <w:r>
        <w:rPr>
          <w:rFonts w:ascii="仿宋_GB2312" w:hAnsi="仿宋_GB2312" w:eastAsia="仿宋_GB2312"/>
          <w:b w:val="0"/>
          <w:sz w:val="32"/>
        </w:rPr>
        <w:t>其中：本年支出合计52,007.59万元，结余分配427.71万元，年末结转和结余3,779.75万元。</w:t>
      </w:r>
    </w:p>
    <w:p w14:paraId="1BF120E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879.54万元，增长1.59%，主要原因是：2025年合并新疆农业职业技术学院、新疆工业经济学校、新疆商贸经济学校、新疆广播电视学校成立新疆农业职业技术大学，在职人员增加，在职人员工资调增、社保、公积金基数调增，人员经费增加。</w:t>
      </w:r>
    </w:p>
    <w:p w14:paraId="6B618FC3">
      <w:pPr>
        <w:spacing w:line="640" w:lineRule="exact"/>
        <w:ind w:firstLine="640"/>
        <w:jc w:val="both"/>
        <w:outlineLvl w:val="2"/>
      </w:pPr>
      <w:r>
        <w:rPr>
          <w:rFonts w:ascii="黑体" w:hAnsi="黑体" w:eastAsia="黑体"/>
          <w:sz w:val="32"/>
        </w:rPr>
        <w:t>二、收入决算情况说明</w:t>
      </w:r>
    </w:p>
    <w:p w14:paraId="4988E61A">
      <w:pPr>
        <w:spacing w:line="580" w:lineRule="exact"/>
        <w:ind w:firstLine="640"/>
        <w:jc w:val="both"/>
      </w:pPr>
      <w:r>
        <w:rPr>
          <w:rFonts w:ascii="仿宋_GB2312" w:hAnsi="仿宋_GB2312" w:eastAsia="仿宋_GB2312"/>
          <w:b/>
          <w:sz w:val="32"/>
        </w:rPr>
        <w:t>本年收入50,463.60万元，</w:t>
      </w:r>
      <w:r>
        <w:rPr>
          <w:rFonts w:ascii="仿宋_GB2312" w:hAnsi="仿宋_GB2312" w:eastAsia="仿宋_GB2312"/>
          <w:b w:val="0"/>
          <w:sz w:val="32"/>
        </w:rPr>
        <w:t>其中：财政拨款收入39,677.43万元，占78.63%；上级补助收入0.00万元，占0.00%；事业收入8,044.79万元，占15.94%；经营收入1,787.94万元，占3.54%；附属单位上缴收入0.00万元，占0.00%；其他收入953.44万元，占1.89%。</w:t>
      </w:r>
    </w:p>
    <w:p w14:paraId="2BA3EE3C">
      <w:pPr>
        <w:spacing w:line="640" w:lineRule="exact"/>
        <w:ind w:firstLine="640"/>
        <w:jc w:val="both"/>
        <w:outlineLvl w:val="2"/>
      </w:pPr>
      <w:r>
        <w:rPr>
          <w:rFonts w:ascii="黑体" w:hAnsi="黑体" w:eastAsia="黑体"/>
          <w:sz w:val="32"/>
        </w:rPr>
        <w:t>三、支出决算情况说明</w:t>
      </w:r>
    </w:p>
    <w:p w14:paraId="3D5C84DB">
      <w:pPr>
        <w:spacing w:line="580" w:lineRule="exact"/>
        <w:ind w:firstLine="640"/>
        <w:jc w:val="both"/>
      </w:pPr>
      <w:r>
        <w:rPr>
          <w:rFonts w:ascii="仿宋_GB2312" w:hAnsi="仿宋_GB2312" w:eastAsia="仿宋_GB2312"/>
          <w:b/>
          <w:sz w:val="32"/>
        </w:rPr>
        <w:t>本年支出52,007.59万元，</w:t>
      </w:r>
      <w:r>
        <w:rPr>
          <w:rFonts w:ascii="仿宋_GB2312" w:hAnsi="仿宋_GB2312" w:eastAsia="仿宋_GB2312"/>
          <w:b w:val="0"/>
          <w:sz w:val="32"/>
        </w:rPr>
        <w:t>其中：基本支出33,890.94万元，占65.17%；项目支出16,756.41万元，占32.22%；上缴上级支出0.00万元，占0.00%；经营支出1,360.23万元，占2.62%；对附属单位补助支出0.00万元，占0.00%。</w:t>
      </w:r>
    </w:p>
    <w:p w14:paraId="753367C0">
      <w:pPr>
        <w:spacing w:line="640" w:lineRule="exact"/>
        <w:ind w:firstLine="640"/>
        <w:jc w:val="both"/>
        <w:outlineLvl w:val="2"/>
      </w:pPr>
      <w:r>
        <w:rPr>
          <w:rFonts w:ascii="黑体" w:hAnsi="黑体" w:eastAsia="黑体"/>
          <w:sz w:val="32"/>
        </w:rPr>
        <w:t>四、财政拨款收入支出决算总体情况说明</w:t>
      </w:r>
    </w:p>
    <w:p w14:paraId="42442ACA">
      <w:pPr>
        <w:spacing w:line="580" w:lineRule="exact"/>
        <w:ind w:firstLine="640"/>
        <w:jc w:val="both"/>
      </w:pPr>
      <w:r>
        <w:rPr>
          <w:rFonts w:ascii="仿宋_GB2312" w:hAnsi="仿宋_GB2312" w:eastAsia="仿宋_GB2312"/>
          <w:b/>
          <w:sz w:val="32"/>
        </w:rPr>
        <w:t>2025年度财政拨款收入总计41,978.47万元，</w:t>
      </w:r>
      <w:r>
        <w:rPr>
          <w:rFonts w:ascii="仿宋_GB2312" w:hAnsi="仿宋_GB2312" w:eastAsia="仿宋_GB2312"/>
          <w:b w:val="0"/>
          <w:sz w:val="32"/>
        </w:rPr>
        <w:t>其中：年初财政拨款结转和结余2,301.04万元，本年财政拨款收入39,677.43万元。</w:t>
      </w:r>
      <w:r>
        <w:rPr>
          <w:rFonts w:ascii="仿宋_GB2312" w:hAnsi="仿宋_GB2312" w:eastAsia="仿宋_GB2312"/>
          <w:b/>
          <w:sz w:val="32"/>
        </w:rPr>
        <w:t>财政拨款支出总计41,978.47万元，</w:t>
      </w:r>
      <w:r>
        <w:rPr>
          <w:rFonts w:ascii="仿宋_GB2312" w:hAnsi="仿宋_GB2312" w:eastAsia="仿宋_GB2312"/>
          <w:b w:val="0"/>
          <w:sz w:val="32"/>
        </w:rPr>
        <w:t>其中：年末财政拨款结转和结余0.00万元，本年财政拨款支出41,978.47万元。</w:t>
      </w:r>
    </w:p>
    <w:p w14:paraId="3BEF39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减少1,565.44万元，下降3.60%，主要原因是：本年减少乡村振兴培训中心项目。</w:t>
      </w:r>
      <w:r>
        <w:rPr>
          <w:rFonts w:ascii="仿宋_GB2312" w:hAnsi="仿宋_GB2312" w:eastAsia="仿宋_GB2312"/>
          <w:b/>
          <w:sz w:val="32"/>
        </w:rPr>
        <w:t>与年初预算相比，</w:t>
      </w:r>
      <w:r>
        <w:rPr>
          <w:rFonts w:ascii="仿宋_GB2312" w:hAnsi="仿宋_GB2312" w:eastAsia="仿宋_GB2312"/>
          <w:b w:val="0"/>
          <w:sz w:val="32"/>
        </w:rPr>
        <w:t>年初预算数39,961.28万元，决算数41,978.47万元，预决算差异率5.05%，主要原因是：本年在职人员增加，年中追加人员经费及人员工资、社保、公积金基数调增部分资金，导致预决算存在差异。</w:t>
      </w:r>
    </w:p>
    <w:p w14:paraId="22779ED3">
      <w:pPr>
        <w:spacing w:line="640" w:lineRule="exact"/>
        <w:ind w:firstLine="640"/>
        <w:jc w:val="both"/>
        <w:outlineLvl w:val="2"/>
      </w:pPr>
      <w:r>
        <w:rPr>
          <w:rFonts w:ascii="黑体" w:hAnsi="黑体" w:eastAsia="黑体"/>
          <w:sz w:val="32"/>
        </w:rPr>
        <w:t>五、一般公共预算财政拨款支出决算情况说明</w:t>
      </w:r>
    </w:p>
    <w:p w14:paraId="5CC48D5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现代职业教育质量提升等重点支出，体现在有关支出科目中。</w:t>
      </w:r>
    </w:p>
    <w:p w14:paraId="26868788">
      <w:pPr>
        <w:spacing w:line="580" w:lineRule="exact"/>
        <w:ind w:firstLine="640"/>
        <w:jc w:val="both"/>
      </w:pPr>
      <w:r>
        <w:rPr>
          <w:rFonts w:ascii="仿宋_GB2312" w:hAnsi="仿宋_GB2312" w:eastAsia="仿宋_GB2312"/>
          <w:b w:val="0"/>
          <w:sz w:val="32"/>
        </w:rPr>
        <w:t>按照支出功能分类，教育支出（类）职业教育（款）高等职业教育（项）的支出占本年财政拨款支出总额的比重最高，2025年度决算数为38,325.58万元，占比91.30%，主要用于人员工资福支出、日常公用经费支出等。</w:t>
      </w:r>
    </w:p>
    <w:p w14:paraId="07400C82">
      <w:pPr>
        <w:spacing w:line="640" w:lineRule="exact"/>
        <w:ind w:firstLine="640"/>
        <w:jc w:val="both"/>
        <w:outlineLvl w:val="3"/>
      </w:pPr>
      <w:r>
        <w:rPr>
          <w:rFonts w:ascii="楷体_GB2312" w:hAnsi="楷体_GB2312" w:eastAsia="楷体_GB2312"/>
          <w:b/>
          <w:sz w:val="32"/>
        </w:rPr>
        <w:t>（一）一般公共预算财政拨款支出决算总体情况</w:t>
      </w:r>
    </w:p>
    <w:p w14:paraId="3E42F24A">
      <w:pPr>
        <w:spacing w:line="580" w:lineRule="exact"/>
        <w:ind w:firstLine="640"/>
        <w:jc w:val="both"/>
      </w:pPr>
      <w:r>
        <w:rPr>
          <w:rFonts w:ascii="仿宋_GB2312" w:hAnsi="仿宋_GB2312" w:eastAsia="仿宋_GB2312"/>
          <w:b/>
          <w:sz w:val="32"/>
        </w:rPr>
        <w:t>2025年度一般公共预算财政拨款支出41,978.47万元，</w:t>
      </w:r>
      <w:r>
        <w:rPr>
          <w:rFonts w:ascii="仿宋_GB2312" w:hAnsi="仿宋_GB2312" w:eastAsia="仿宋_GB2312"/>
          <w:b w:val="0"/>
          <w:sz w:val="32"/>
        </w:rPr>
        <w:t>占本年支出合计的80.72%。</w:t>
      </w:r>
      <w:r>
        <w:rPr>
          <w:rFonts w:ascii="仿宋_GB2312" w:hAnsi="仿宋_GB2312" w:eastAsia="仿宋_GB2312"/>
          <w:b/>
          <w:sz w:val="32"/>
        </w:rPr>
        <w:t>与上年相比，</w:t>
      </w:r>
      <w:r>
        <w:rPr>
          <w:rFonts w:ascii="仿宋_GB2312" w:hAnsi="仿宋_GB2312" w:eastAsia="仿宋_GB2312"/>
          <w:b w:val="0"/>
          <w:sz w:val="32"/>
        </w:rPr>
        <w:t>增加14,463.97万元，增长52.57%，主要原因是：2025年合并新疆农业职业技术学院、新疆工业经济学校、新疆商贸经济学校、新疆广播电视学校成立新疆农业职业技术大学，在职人员增加，在职人员工资调增、社保、公积金基数调增，人员经费增加。本年增加中等职业教育的奖助学金项目。</w:t>
      </w:r>
      <w:r>
        <w:rPr>
          <w:rFonts w:ascii="仿宋_GB2312" w:hAnsi="仿宋_GB2312" w:eastAsia="仿宋_GB2312"/>
          <w:b/>
          <w:sz w:val="32"/>
        </w:rPr>
        <w:t>与年初预算相比，</w:t>
      </w:r>
      <w:r>
        <w:rPr>
          <w:rFonts w:ascii="仿宋_GB2312" w:hAnsi="仿宋_GB2312" w:eastAsia="仿宋_GB2312"/>
          <w:b w:val="0"/>
          <w:sz w:val="32"/>
        </w:rPr>
        <w:t>年初预算数39,961.28万元，决算数41,978.47万元，预决算差异率5.05%，主要原因是：本年在职人员增加，年中追加人员经费及人员工资、社保、公积金基数调增部分资金，导致预决算存在差异。</w:t>
      </w:r>
    </w:p>
    <w:p w14:paraId="51DE9D7E">
      <w:pPr>
        <w:spacing w:line="640" w:lineRule="exact"/>
        <w:ind w:firstLine="640"/>
        <w:jc w:val="both"/>
        <w:outlineLvl w:val="3"/>
      </w:pPr>
      <w:r>
        <w:rPr>
          <w:rFonts w:ascii="楷体_GB2312" w:hAnsi="楷体_GB2312" w:eastAsia="楷体_GB2312"/>
          <w:b/>
          <w:sz w:val="32"/>
        </w:rPr>
        <w:t>（二）一般公共预算财政拨款支出决算结构情况</w:t>
      </w:r>
    </w:p>
    <w:p w14:paraId="60527782">
      <w:pPr>
        <w:spacing w:line="580" w:lineRule="exact"/>
        <w:ind w:firstLine="640"/>
        <w:jc w:val="both"/>
      </w:pPr>
      <w:r>
        <w:rPr>
          <w:rFonts w:ascii="仿宋_GB2312" w:hAnsi="仿宋_GB2312" w:eastAsia="仿宋_GB2312"/>
          <w:b w:val="0"/>
          <w:sz w:val="32"/>
        </w:rPr>
        <w:t>1.教育支出（类）41,029.60万元，占97.74%。</w:t>
      </w:r>
    </w:p>
    <w:p w14:paraId="024357CD">
      <w:pPr>
        <w:spacing w:line="580" w:lineRule="exact"/>
        <w:ind w:firstLine="640"/>
        <w:jc w:val="both"/>
      </w:pPr>
      <w:r>
        <w:rPr>
          <w:rFonts w:ascii="仿宋_GB2312" w:hAnsi="仿宋_GB2312" w:eastAsia="仿宋_GB2312"/>
          <w:b w:val="0"/>
          <w:sz w:val="32"/>
        </w:rPr>
        <w:t>2.科学技术支出（类）45.00万元，占0.11%。</w:t>
      </w:r>
    </w:p>
    <w:p w14:paraId="4E67B220">
      <w:pPr>
        <w:spacing w:line="580" w:lineRule="exact"/>
        <w:ind w:firstLine="640"/>
        <w:jc w:val="both"/>
      </w:pPr>
      <w:r>
        <w:rPr>
          <w:rFonts w:ascii="仿宋_GB2312" w:hAnsi="仿宋_GB2312" w:eastAsia="仿宋_GB2312"/>
          <w:b w:val="0"/>
          <w:sz w:val="32"/>
        </w:rPr>
        <w:t>3.文化旅游体育与传媒支出（类）9.60万元，占0.02%。</w:t>
      </w:r>
    </w:p>
    <w:p w14:paraId="5954E6D2">
      <w:pPr>
        <w:spacing w:line="580" w:lineRule="exact"/>
        <w:ind w:firstLine="640"/>
        <w:jc w:val="both"/>
      </w:pPr>
      <w:r>
        <w:rPr>
          <w:rFonts w:ascii="仿宋_GB2312" w:hAnsi="仿宋_GB2312" w:eastAsia="仿宋_GB2312"/>
          <w:b w:val="0"/>
          <w:sz w:val="32"/>
        </w:rPr>
        <w:t>4.社会保障和就业支出（类）130.12万元，占0.31%。</w:t>
      </w:r>
    </w:p>
    <w:p w14:paraId="10E7D4AA">
      <w:pPr>
        <w:spacing w:line="580" w:lineRule="exact"/>
        <w:ind w:firstLine="640"/>
        <w:jc w:val="both"/>
      </w:pPr>
      <w:r>
        <w:rPr>
          <w:rFonts w:ascii="仿宋_GB2312" w:hAnsi="仿宋_GB2312" w:eastAsia="仿宋_GB2312"/>
          <w:b w:val="0"/>
          <w:sz w:val="32"/>
        </w:rPr>
        <w:t>5.农林水支出（类）764.14万元，占1.82%。</w:t>
      </w:r>
    </w:p>
    <w:p w14:paraId="5E0BCDE4">
      <w:pPr>
        <w:spacing w:line="640" w:lineRule="exact"/>
        <w:ind w:firstLine="640"/>
        <w:jc w:val="both"/>
        <w:outlineLvl w:val="3"/>
      </w:pPr>
      <w:r>
        <w:rPr>
          <w:rFonts w:ascii="楷体_GB2312" w:hAnsi="楷体_GB2312" w:eastAsia="楷体_GB2312"/>
          <w:b/>
          <w:sz w:val="32"/>
        </w:rPr>
        <w:t>（三）一般公共预算财政拨款支出决算具体情况</w:t>
      </w:r>
    </w:p>
    <w:p w14:paraId="73931563">
      <w:pPr>
        <w:spacing w:line="580" w:lineRule="exact"/>
        <w:ind w:firstLine="640"/>
        <w:jc w:val="both"/>
      </w:pPr>
      <w:r>
        <w:rPr>
          <w:rFonts w:ascii="仿宋_GB2312" w:hAnsi="仿宋_GB2312" w:eastAsia="仿宋_GB2312"/>
          <w:b w:val="0"/>
          <w:sz w:val="32"/>
        </w:rPr>
        <w:t>1.教育支出（类）普通教育（款）高等教育（项）：支出决算数为14.54万元，比上年决算增加14.54万元，增长100.00%，主要原因是：本年年中增加2025年自治区选派北疆教师赴南疆支教生活补助经费项目。</w:t>
      </w:r>
    </w:p>
    <w:p w14:paraId="77363CD4">
      <w:pPr>
        <w:spacing w:line="580" w:lineRule="exact"/>
        <w:ind w:firstLine="640"/>
        <w:jc w:val="both"/>
      </w:pPr>
      <w:r>
        <w:rPr>
          <w:rFonts w:ascii="仿宋_GB2312" w:hAnsi="仿宋_GB2312" w:eastAsia="仿宋_GB2312"/>
          <w:b w:val="0"/>
          <w:sz w:val="32"/>
        </w:rPr>
        <w:t>2.教育支出（类）职业教育（款）中等职业教育（项）：支出决算数为1,993.58万元，比上年决算增加1,789.79万元，增长878.25%，主要原因是：本年增加中等职业教育的奖助学金项目。</w:t>
      </w:r>
    </w:p>
    <w:p w14:paraId="042BFB81">
      <w:pPr>
        <w:spacing w:line="580" w:lineRule="exact"/>
        <w:ind w:firstLine="640"/>
        <w:jc w:val="both"/>
      </w:pPr>
      <w:r>
        <w:rPr>
          <w:rFonts w:ascii="仿宋_GB2312" w:hAnsi="仿宋_GB2312" w:eastAsia="仿宋_GB2312"/>
          <w:b w:val="0"/>
          <w:sz w:val="32"/>
        </w:rPr>
        <w:t>3.教育支出（类）职业教育（款）技校教育（项）：支出决算数为695.90万元，比上年决算增加624.92万元，增长880.42%，主要原因是：本年增加技工院校免住宿教材费、中职校国家助学金配套资金（技工）、中职免学费</w:t>
      </w:r>
      <w:r>
        <w:rPr>
          <w:rFonts w:hint="eastAsia" w:ascii="仿宋_GB2312" w:hAnsi="仿宋_GB2312" w:eastAsia="仿宋_GB2312"/>
          <w:b w:val="0"/>
          <w:sz w:val="32"/>
          <w:lang w:eastAsia="zh-CN"/>
        </w:rPr>
        <w:t>－</w:t>
      </w:r>
      <w:r>
        <w:rPr>
          <w:rFonts w:ascii="仿宋_GB2312" w:hAnsi="仿宋_GB2312" w:eastAsia="仿宋_GB2312"/>
          <w:b w:val="0"/>
          <w:sz w:val="32"/>
        </w:rPr>
        <w:t>技工、技工国家奖学金拨款项目。</w:t>
      </w:r>
    </w:p>
    <w:p w14:paraId="469585FB">
      <w:pPr>
        <w:spacing w:line="580" w:lineRule="exact"/>
        <w:ind w:firstLine="640"/>
        <w:jc w:val="both"/>
      </w:pPr>
      <w:r>
        <w:rPr>
          <w:rFonts w:ascii="仿宋_GB2312" w:hAnsi="仿宋_GB2312" w:eastAsia="仿宋_GB2312"/>
          <w:b w:val="0"/>
          <w:sz w:val="32"/>
        </w:rPr>
        <w:t>4.教育支出（类）职业教育（款）高等职业教育（项）：支出决算数为38,325.58万元，比上年决算增加11,798.09万元，增长44.47%，主要原因是：本年合并新疆农业职业技术学院、新疆工业经济学校、新疆商贸经济学校、新疆广播电视学校成立新疆农业职业技术大学，在职人员增加，在职人员工资调增、社保、公积金基数调增，人员经费增加。</w:t>
      </w:r>
    </w:p>
    <w:p w14:paraId="7A08852D">
      <w:pPr>
        <w:spacing w:line="580" w:lineRule="exact"/>
        <w:ind w:firstLine="640"/>
        <w:jc w:val="both"/>
      </w:pPr>
      <w:r>
        <w:rPr>
          <w:rFonts w:ascii="仿宋_GB2312" w:hAnsi="仿宋_GB2312" w:eastAsia="仿宋_GB2312"/>
          <w:b w:val="0"/>
          <w:sz w:val="32"/>
        </w:rPr>
        <w:t>5.科学技术支出（类）基础研究（款）科技人才队伍建设（项）：支出决算数为45.00万元，比上年决算增加30.00万元，增长200.00%，主要原因是：本年中增加第二批“天山英才”培养计划</w:t>
      </w:r>
      <w:r>
        <w:rPr>
          <w:rFonts w:hint="eastAsia" w:ascii="仿宋_GB2312" w:hAnsi="仿宋_GB2312" w:eastAsia="仿宋_GB2312"/>
          <w:b w:val="0"/>
          <w:sz w:val="32"/>
          <w:lang w:eastAsia="zh-CN"/>
        </w:rPr>
        <w:t>－</w:t>
      </w:r>
      <w:r>
        <w:rPr>
          <w:rFonts w:ascii="仿宋_GB2312" w:hAnsi="仿宋_GB2312" w:eastAsia="仿宋_GB2312"/>
          <w:b w:val="0"/>
          <w:sz w:val="32"/>
        </w:rPr>
        <w:t>青年托举人才项目、天池英才引进计划</w:t>
      </w:r>
      <w:r>
        <w:rPr>
          <w:rFonts w:hint="eastAsia" w:ascii="仿宋_GB2312" w:hAnsi="仿宋_GB2312" w:eastAsia="仿宋_GB2312"/>
          <w:b w:val="0"/>
          <w:sz w:val="32"/>
          <w:lang w:eastAsia="zh-CN"/>
        </w:rPr>
        <w:t>－</w:t>
      </w:r>
      <w:r>
        <w:rPr>
          <w:rFonts w:ascii="仿宋_GB2312" w:hAnsi="仿宋_GB2312" w:eastAsia="仿宋_GB2312"/>
          <w:b w:val="0"/>
          <w:sz w:val="32"/>
        </w:rPr>
        <w:t>青年博士项目拨款。</w:t>
      </w:r>
    </w:p>
    <w:p w14:paraId="37549154">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9.60万元，比上年决算减少4.40万元，下降31.43%，主要原因是：本年减少天山英才培养计划-哲学社会科学人才、新疆文化名家项目拨款。</w:t>
      </w:r>
    </w:p>
    <w:p w14:paraId="1518DCA3">
      <w:pPr>
        <w:spacing w:line="580" w:lineRule="exact"/>
        <w:ind w:firstLine="640"/>
        <w:jc w:val="both"/>
      </w:pPr>
      <w:r>
        <w:rPr>
          <w:rFonts w:ascii="仿宋_GB2312" w:hAnsi="仿宋_GB2312" w:eastAsia="仿宋_GB2312"/>
          <w:b w:val="0"/>
          <w:sz w:val="32"/>
        </w:rPr>
        <w:t>7.社会保障和就业支出（类）人力资源和社会保障管理事务（款）就业管理事务（项）：支出决算数为0.00万元，比上年决算减少17.00万元，下降100.00%，主要原因是：本年减少天山英才培养计划项目拨款。</w:t>
      </w:r>
    </w:p>
    <w:p w14:paraId="5DF28A47">
      <w:pPr>
        <w:spacing w:line="580" w:lineRule="exact"/>
        <w:ind w:firstLine="640"/>
        <w:jc w:val="both"/>
      </w:pPr>
      <w:r>
        <w:rPr>
          <w:rFonts w:ascii="仿宋_GB2312" w:hAnsi="仿宋_GB2312" w:eastAsia="仿宋_GB2312"/>
          <w:b w:val="0"/>
          <w:sz w:val="32"/>
        </w:rPr>
        <w:t>8.社会保障和就业支出（类）人力资源和社会保障管理事务（款）其他人力资源和社会保障管理事务支出（项）：支出决算数为130.12万元，比上年决算增加10.12万元，增长8.43%，主要原因是：本年增加天池英才引进计划</w:t>
      </w:r>
      <w:r>
        <w:rPr>
          <w:rFonts w:hint="eastAsia" w:ascii="仿宋_GB2312" w:hAnsi="仿宋_GB2312" w:eastAsia="仿宋_GB2312"/>
          <w:b w:val="0"/>
          <w:sz w:val="32"/>
          <w:lang w:eastAsia="zh-CN"/>
        </w:rPr>
        <w:t>－</w:t>
      </w:r>
      <w:r>
        <w:rPr>
          <w:rFonts w:ascii="仿宋_GB2312" w:hAnsi="仿宋_GB2312" w:eastAsia="仿宋_GB2312"/>
          <w:b w:val="0"/>
          <w:sz w:val="32"/>
        </w:rPr>
        <w:t>青年博士、天山英才培养计划</w:t>
      </w:r>
      <w:r>
        <w:rPr>
          <w:rFonts w:hint="eastAsia" w:ascii="仿宋_GB2312" w:hAnsi="仿宋_GB2312" w:eastAsia="仿宋_GB2312"/>
          <w:b w:val="0"/>
          <w:sz w:val="32"/>
          <w:lang w:eastAsia="zh-CN"/>
        </w:rPr>
        <w:t>－</w:t>
      </w:r>
      <w:r>
        <w:rPr>
          <w:rFonts w:ascii="仿宋_GB2312" w:hAnsi="仿宋_GB2312" w:eastAsia="仿宋_GB2312"/>
          <w:b w:val="0"/>
          <w:sz w:val="32"/>
        </w:rPr>
        <w:t>新疆工匠、“天山英才”培养计划</w:t>
      </w:r>
      <w:r>
        <w:rPr>
          <w:rFonts w:hint="eastAsia" w:ascii="仿宋_GB2312" w:hAnsi="仿宋_GB2312" w:eastAsia="仿宋_GB2312"/>
          <w:b w:val="0"/>
          <w:sz w:val="32"/>
          <w:lang w:eastAsia="zh-CN"/>
        </w:rPr>
        <w:t>－</w:t>
      </w:r>
      <w:r>
        <w:rPr>
          <w:rFonts w:ascii="仿宋_GB2312" w:hAnsi="仿宋_GB2312" w:eastAsia="仿宋_GB2312"/>
          <w:b w:val="0"/>
          <w:sz w:val="32"/>
        </w:rPr>
        <w:t>新疆工匠拨款。</w:t>
      </w:r>
    </w:p>
    <w:p w14:paraId="2D876BAB">
      <w:pPr>
        <w:spacing w:line="580" w:lineRule="exact"/>
        <w:ind w:firstLine="640"/>
        <w:jc w:val="both"/>
      </w:pPr>
      <w:r>
        <w:rPr>
          <w:rFonts w:ascii="仿宋_GB2312" w:hAnsi="仿宋_GB2312" w:eastAsia="仿宋_GB2312"/>
          <w:b w:val="0"/>
          <w:sz w:val="32"/>
        </w:rPr>
        <w:t>9.农林水支出（类）农业农村（款）科技转化与推广服务（项）：支出决算数为143.14万元，比上年决算增加16.90万元，增长13.39%，主要原因是：本年增加智力援疆创新拓展人才计划</w:t>
      </w:r>
      <w:r>
        <w:rPr>
          <w:rFonts w:hint="eastAsia" w:ascii="仿宋_GB2312" w:hAnsi="仿宋_GB2312" w:eastAsia="仿宋_GB2312"/>
          <w:b w:val="0"/>
          <w:sz w:val="32"/>
          <w:lang w:eastAsia="zh-CN"/>
        </w:rPr>
        <w:t>－</w:t>
      </w:r>
      <w:r>
        <w:rPr>
          <w:rFonts w:ascii="仿宋_GB2312" w:hAnsi="仿宋_GB2312" w:eastAsia="仿宋_GB2312"/>
          <w:b w:val="0"/>
          <w:sz w:val="32"/>
        </w:rPr>
        <w:t>“小组团”援疆团队示范点、天山英才培养计划</w:t>
      </w:r>
      <w:r>
        <w:rPr>
          <w:rFonts w:hint="eastAsia" w:ascii="仿宋_GB2312" w:hAnsi="仿宋_GB2312" w:eastAsia="仿宋_GB2312"/>
          <w:b w:val="0"/>
          <w:sz w:val="32"/>
          <w:lang w:eastAsia="zh-CN"/>
        </w:rPr>
        <w:t>－</w:t>
      </w:r>
      <w:r>
        <w:rPr>
          <w:rFonts w:ascii="仿宋_GB2312" w:hAnsi="仿宋_GB2312" w:eastAsia="仿宋_GB2312"/>
          <w:b w:val="0"/>
          <w:sz w:val="32"/>
        </w:rPr>
        <w:t>“三农”骨干人才、产业技术创新团队支持计划</w:t>
      </w:r>
      <w:r>
        <w:rPr>
          <w:rFonts w:hint="eastAsia" w:ascii="仿宋_GB2312" w:hAnsi="仿宋_GB2312" w:eastAsia="仿宋_GB2312"/>
          <w:b w:val="0"/>
          <w:sz w:val="32"/>
          <w:lang w:eastAsia="zh-CN"/>
        </w:rPr>
        <w:t>－</w:t>
      </w:r>
      <w:r>
        <w:rPr>
          <w:rFonts w:ascii="仿宋_GB2312" w:hAnsi="仿宋_GB2312" w:eastAsia="仿宋_GB2312"/>
          <w:b w:val="0"/>
          <w:sz w:val="32"/>
        </w:rPr>
        <w:t>农业产业体系、新疆人才发展基金2025年度第三轮支持资金</w:t>
      </w:r>
      <w:r>
        <w:rPr>
          <w:rFonts w:hint="eastAsia" w:ascii="仿宋_GB2312" w:hAnsi="仿宋_GB2312" w:eastAsia="仿宋_GB2312"/>
          <w:b w:val="0"/>
          <w:sz w:val="32"/>
          <w:lang w:eastAsia="zh-CN"/>
        </w:rPr>
        <w:t>－</w:t>
      </w:r>
      <w:r>
        <w:rPr>
          <w:rFonts w:ascii="仿宋_GB2312" w:hAnsi="仿宋_GB2312" w:eastAsia="仿宋_GB2312"/>
          <w:b w:val="0"/>
          <w:sz w:val="32"/>
        </w:rPr>
        <w:t>产业技术创新团队支持计划项目拨款。</w:t>
      </w:r>
    </w:p>
    <w:p w14:paraId="5D1EB2F8">
      <w:pPr>
        <w:spacing w:line="580" w:lineRule="exact"/>
        <w:ind w:firstLine="640"/>
        <w:jc w:val="both"/>
      </w:pPr>
      <w:r>
        <w:rPr>
          <w:rFonts w:ascii="仿宋_GB2312" w:hAnsi="仿宋_GB2312" w:eastAsia="仿宋_GB2312"/>
          <w:b w:val="0"/>
          <w:sz w:val="32"/>
        </w:rPr>
        <w:t>10.农林水支出（类）农业农村（款）病虫害控制（项）：支出决算数为10.00万元，比上年决算增加10.00万元，增长100.00%，主要原因是：本年增加2025年在自治区农业生产救灾（动物防疫补助）项目拨款。</w:t>
      </w:r>
    </w:p>
    <w:p w14:paraId="4D0AF5D1">
      <w:pPr>
        <w:spacing w:line="580" w:lineRule="exact"/>
        <w:ind w:firstLine="640"/>
        <w:jc w:val="both"/>
      </w:pPr>
      <w:r>
        <w:rPr>
          <w:rFonts w:ascii="仿宋_GB2312" w:hAnsi="仿宋_GB2312" w:eastAsia="仿宋_GB2312"/>
          <w:b w:val="0"/>
          <w:sz w:val="32"/>
        </w:rPr>
        <w:t>11.农林水支出（类）农业农村（款）农业生产发展（项）：支出决算数为601.00万元，比上年决算增加181.00万元，增长43.10%，主要原因是：本年增加高素质农民培训项目经费。</w:t>
      </w:r>
    </w:p>
    <w:p w14:paraId="166B92BE">
      <w:pPr>
        <w:spacing w:line="580" w:lineRule="exact"/>
        <w:ind w:firstLine="640"/>
        <w:jc w:val="both"/>
      </w:pPr>
      <w:r>
        <w:rPr>
          <w:rFonts w:ascii="仿宋_GB2312" w:hAnsi="仿宋_GB2312" w:eastAsia="仿宋_GB2312"/>
          <w:b w:val="0"/>
          <w:sz w:val="32"/>
        </w:rPr>
        <w:t>12.农林水支出（类）农业农村（款）农村合作经济（项）：支出决算数为10.00万元，比上年决算增加10.00万元，增长100.00%，主要原因是：本年增加基层农技推广体系改革与建设专项拨款。</w:t>
      </w:r>
    </w:p>
    <w:p w14:paraId="2BDF37ED">
      <w:pPr>
        <w:spacing w:line="640" w:lineRule="exact"/>
        <w:ind w:firstLine="640"/>
        <w:jc w:val="both"/>
        <w:outlineLvl w:val="2"/>
      </w:pPr>
      <w:r>
        <w:rPr>
          <w:rFonts w:ascii="黑体" w:hAnsi="黑体" w:eastAsia="黑体"/>
          <w:sz w:val="32"/>
        </w:rPr>
        <w:t>六、一般公共预算财政拨款基本支出决算情况说明</w:t>
      </w:r>
    </w:p>
    <w:p w14:paraId="4BBBC4E8">
      <w:pPr>
        <w:spacing w:line="580" w:lineRule="exact"/>
        <w:ind w:firstLine="640"/>
        <w:jc w:val="both"/>
      </w:pPr>
      <w:r>
        <w:rPr>
          <w:rFonts w:ascii="仿宋_GB2312" w:hAnsi="仿宋_GB2312" w:eastAsia="仿宋_GB2312"/>
          <w:b w:val="0"/>
          <w:sz w:val="32"/>
        </w:rPr>
        <w:t>2025年度一般公共预算财政拨款基本支出31,707.53万元，其中：</w:t>
      </w:r>
      <w:r>
        <w:rPr>
          <w:rFonts w:ascii="仿宋_GB2312" w:hAnsi="仿宋_GB2312" w:eastAsia="仿宋_GB2312"/>
          <w:b/>
          <w:sz w:val="32"/>
        </w:rPr>
        <w:t>人员经费26,810.00万元，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助学金、奖励金、其他对个人和家庭的补助。</w:t>
      </w:r>
    </w:p>
    <w:p w14:paraId="5D82A96D">
      <w:pPr>
        <w:spacing w:line="580" w:lineRule="exact"/>
        <w:ind w:firstLine="640"/>
        <w:jc w:val="both"/>
      </w:pPr>
      <w:r>
        <w:rPr>
          <w:rFonts w:ascii="仿宋_GB2312" w:hAnsi="仿宋_GB2312" w:eastAsia="仿宋_GB2312"/>
          <w:b/>
          <w:sz w:val="32"/>
        </w:rPr>
        <w:t>公用经费4,897.53万元，</w:t>
      </w:r>
      <w:r>
        <w:rPr>
          <w:rFonts w:ascii="仿宋_GB2312" w:hAnsi="仿宋_GB2312" w:eastAsia="仿宋_GB2312"/>
          <w:b w:val="0"/>
          <w:sz w:val="32"/>
        </w:rPr>
        <w:t>包括：办公费、印刷费、水费、电费、邮电费、取暖费、物业管理费、差旅费、维修（护）费、租赁费、会议费、培训费、公务接待费、专用材料费、劳务费、委托业务费、工会经费、福利费、公务用车运行维护费、其他交通费用、税金及附加费用、其他商品和服务支出、公务用车购置。</w:t>
      </w:r>
    </w:p>
    <w:p w14:paraId="7C392B45">
      <w:pPr>
        <w:spacing w:line="640" w:lineRule="exact"/>
        <w:ind w:firstLine="640"/>
        <w:jc w:val="both"/>
        <w:outlineLvl w:val="2"/>
      </w:pPr>
      <w:r>
        <w:rPr>
          <w:rFonts w:ascii="黑体" w:hAnsi="黑体" w:eastAsia="黑体"/>
          <w:sz w:val="32"/>
        </w:rPr>
        <w:t>七、政府性基金预算财政拨款收入支出决算情况说明</w:t>
      </w:r>
    </w:p>
    <w:p w14:paraId="236BF443">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7346706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减少15,000.00万元，下降100.00%，主要原因是：本年减少乡村振兴培训中心项目。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20C20420">
      <w:pPr>
        <w:spacing w:line="580" w:lineRule="exact"/>
        <w:ind w:firstLine="640"/>
        <w:jc w:val="both"/>
      </w:pPr>
      <w:r>
        <w:rPr>
          <w:rFonts w:ascii="仿宋_GB2312" w:hAnsi="仿宋_GB2312" w:eastAsia="仿宋_GB2312"/>
          <w:b w:val="0"/>
          <w:sz w:val="32"/>
        </w:rPr>
        <w:t>政府性基金预算财政拨款本年支出0.00万元。具体情况如下：</w:t>
      </w:r>
    </w:p>
    <w:p w14:paraId="13FCD631">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15,000.00万元，下降100.00%，主要原因是：本年减少乡村振兴培训中心项目。</w:t>
      </w:r>
    </w:p>
    <w:p w14:paraId="15BACECB">
      <w:pPr>
        <w:spacing w:line="640" w:lineRule="exact"/>
        <w:ind w:firstLine="640"/>
        <w:jc w:val="both"/>
        <w:outlineLvl w:val="2"/>
      </w:pPr>
      <w:r>
        <w:rPr>
          <w:rFonts w:ascii="黑体" w:hAnsi="黑体" w:eastAsia="黑体"/>
          <w:sz w:val="32"/>
        </w:rPr>
        <w:t>八、国有资本经营预算财政拨款收入支出决算情况说明</w:t>
      </w:r>
    </w:p>
    <w:p w14:paraId="0AEAE9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98FF5E4">
      <w:pPr>
        <w:spacing w:line="640" w:lineRule="exact"/>
        <w:ind w:firstLine="640"/>
        <w:jc w:val="both"/>
        <w:outlineLvl w:val="2"/>
      </w:pPr>
      <w:r>
        <w:rPr>
          <w:rFonts w:ascii="黑体" w:hAnsi="黑体" w:eastAsia="黑体"/>
          <w:sz w:val="32"/>
        </w:rPr>
        <w:t>九、财政拨款“三公”经费支出决算情况说明</w:t>
      </w:r>
    </w:p>
    <w:p w14:paraId="60DBB614">
      <w:pPr>
        <w:spacing w:line="580" w:lineRule="exact"/>
        <w:ind w:firstLine="640"/>
        <w:jc w:val="both"/>
      </w:pPr>
      <w:r>
        <w:rPr>
          <w:rFonts w:ascii="仿宋_GB2312" w:hAnsi="仿宋_GB2312" w:eastAsia="仿宋_GB2312"/>
          <w:b/>
          <w:sz w:val="32"/>
        </w:rPr>
        <w:t>2025年度财政拨款“三公”经费支出22.85万元，</w:t>
      </w:r>
      <w:r>
        <w:rPr>
          <w:rFonts w:ascii="仿宋_GB2312" w:hAnsi="仿宋_GB2312" w:eastAsia="仿宋_GB2312"/>
          <w:b w:val="0"/>
          <w:sz w:val="32"/>
        </w:rPr>
        <w:t>比上年增加15.05万元，增长192.95%，主要原因是：本年新购入公务用车，导致公务用车运行维护费较上年增加。本年因业务需求，增加公务接待工作，导致公务接待费较上年增加。其中：因公出国（境）费用支出0.00万元，占0.00%，比上年增加0.00万元，增长0.00%，主要原因是：2024年与2025年均无因公出国（境）费用支出。公务用车购置及运行维护费支出20.01万元，占87.57%，比上年增加12.21万元，增长156.54%，主要原因是：本年新购入公务用车，导致公务用车运行维护费较上年增加。公务接待费支出2.84万元，占12.43%，比上年增加2.84万元，增长100.00%，主要原因是：本年因业务需求，增加公务接待工作，导致公务接待费较上年增加。</w:t>
      </w:r>
    </w:p>
    <w:p w14:paraId="7052661A">
      <w:pPr>
        <w:spacing w:line="580" w:lineRule="exact"/>
        <w:ind w:firstLine="640"/>
        <w:jc w:val="both"/>
      </w:pPr>
      <w:r>
        <w:rPr>
          <w:rFonts w:ascii="仿宋_GB2312" w:hAnsi="仿宋_GB2312" w:eastAsia="仿宋_GB2312"/>
          <w:b/>
          <w:sz w:val="32"/>
        </w:rPr>
        <w:t>具体情况如下：</w:t>
      </w:r>
    </w:p>
    <w:p w14:paraId="2EE7A70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BD59D3B">
      <w:pPr>
        <w:spacing w:line="580" w:lineRule="exact"/>
        <w:ind w:firstLine="640"/>
        <w:jc w:val="both"/>
      </w:pPr>
      <w:r>
        <w:rPr>
          <w:rFonts w:ascii="仿宋_GB2312" w:hAnsi="仿宋_GB2312" w:eastAsia="仿宋_GB2312"/>
          <w:b w:val="0"/>
          <w:sz w:val="32"/>
        </w:rPr>
        <w:t>公务用车购置及运行维护费20.01万元，其中：公务用车购置费17.95万元，公务用车运行维护费2.06万元。公务用车运行维护费开支内容包括车辆加油费、维修费、保险费、审车费、过路费等。公务用车购置数1辆，公务用车保有量6辆。国有资产占用情况中固定资产车辆24辆，与公务用车保有量差异原因是：差异车辆为单位业务用车，车辆费用未使用财政拨款公务用车运行维护费支付，由业务经费保障。</w:t>
      </w:r>
    </w:p>
    <w:p w14:paraId="2BD9CB40">
      <w:pPr>
        <w:spacing w:line="580" w:lineRule="exact"/>
        <w:ind w:firstLine="640"/>
        <w:jc w:val="both"/>
      </w:pPr>
      <w:r>
        <w:rPr>
          <w:rFonts w:ascii="仿宋_GB2312" w:hAnsi="仿宋_GB2312" w:eastAsia="仿宋_GB2312"/>
          <w:b w:val="0"/>
          <w:sz w:val="32"/>
        </w:rPr>
        <w:t>公务接待费2.84万元，开支内容包括接待上级领导检查、督导组检查、工作小组考察学习产生的就餐费。单位全年安排的国内公务接待3批次，483人次。</w:t>
      </w:r>
    </w:p>
    <w:p w14:paraId="3CAAD27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22.88万元，决算数22.85万元，预决算差异率-0.13%，主要原因是：严格落实中央八项规定精神，厉行节约，减少经费支出。其中：因公出国（境）费用全年预算数0.00万元，决算数0.00万元，预决算差异率0.00%，主要原因是：本单位无因公出国（境）费用。公务用车购置费全年预算数17.95万元，决算数17.95万元，预决算差异率0.00%，主要原因是：严格按照预算执行，预决算无差异。公务用车运行维护费全年预算数2.09万元，决算数2.06万元，预决算差异率-1.44%，主要原因是：严格落实中央八项规定精神，厉行节约，减少经费支出。公务接待费全年预算数2.84万元，决算数2.84万元，预决算差异率0.00%，主要原因是：严格按照预算执行，预决算无差异。</w:t>
      </w:r>
    </w:p>
    <w:p w14:paraId="3CB4C2F2">
      <w:pPr>
        <w:spacing w:line="640" w:lineRule="exact"/>
        <w:ind w:firstLine="640"/>
        <w:jc w:val="both"/>
        <w:outlineLvl w:val="2"/>
      </w:pPr>
      <w:r>
        <w:rPr>
          <w:rFonts w:ascii="黑体" w:hAnsi="黑体" w:eastAsia="黑体"/>
          <w:sz w:val="32"/>
        </w:rPr>
        <w:t>十、其他重要事项的情况说明</w:t>
      </w:r>
    </w:p>
    <w:p w14:paraId="6E5213A1">
      <w:pPr>
        <w:spacing w:line="640" w:lineRule="exact"/>
        <w:ind w:firstLine="640"/>
        <w:jc w:val="both"/>
        <w:outlineLvl w:val="3"/>
      </w:pPr>
      <w:r>
        <w:rPr>
          <w:rFonts w:ascii="楷体_GB2312" w:hAnsi="楷体_GB2312" w:eastAsia="楷体_GB2312"/>
          <w:b/>
          <w:sz w:val="32"/>
        </w:rPr>
        <w:t>（一）机关运行经费及公用经费支出情况</w:t>
      </w:r>
    </w:p>
    <w:p w14:paraId="103B829C">
      <w:pPr>
        <w:spacing w:line="580" w:lineRule="exact"/>
        <w:ind w:firstLine="640"/>
        <w:jc w:val="both"/>
      </w:pPr>
      <w:r>
        <w:rPr>
          <w:rFonts w:ascii="仿宋_GB2312" w:hAnsi="仿宋_GB2312" w:eastAsia="仿宋_GB2312"/>
          <w:b w:val="0"/>
          <w:sz w:val="32"/>
        </w:rPr>
        <w:t>2025年度新疆农业职业技术大学（事业单位）公用经费支出4,897.53万元，比上年增加1,701.40万元，增长53.23%，主要原因是：本年业务量增加，办公费、水费、电费、取暖费等增加，导致公用经费增加。</w:t>
      </w:r>
    </w:p>
    <w:p w14:paraId="51E00FD3">
      <w:pPr>
        <w:spacing w:line="640" w:lineRule="exact"/>
        <w:ind w:firstLine="640"/>
        <w:jc w:val="both"/>
        <w:outlineLvl w:val="3"/>
      </w:pPr>
      <w:r>
        <w:rPr>
          <w:rFonts w:ascii="楷体_GB2312" w:hAnsi="楷体_GB2312" w:eastAsia="楷体_GB2312"/>
          <w:b/>
          <w:sz w:val="32"/>
        </w:rPr>
        <w:t>（二）政府采购情况</w:t>
      </w:r>
    </w:p>
    <w:p w14:paraId="5FB98E85">
      <w:pPr>
        <w:spacing w:line="580" w:lineRule="exact"/>
        <w:ind w:firstLine="640"/>
        <w:jc w:val="both"/>
      </w:pPr>
      <w:r>
        <w:rPr>
          <w:rFonts w:ascii="仿宋_GB2312" w:hAnsi="仿宋_GB2312" w:eastAsia="仿宋_GB2312"/>
          <w:b w:val="0"/>
          <w:sz w:val="32"/>
        </w:rPr>
        <w:t>2025年度政府采购支出总额5,296.31万元，其中：政府采购货物支出2,155.54万元、政府采购工程支出1,835.01万元、政府采购服务支出1,305.76万元。</w:t>
      </w:r>
    </w:p>
    <w:p w14:paraId="27709391">
      <w:pPr>
        <w:spacing w:line="580" w:lineRule="exact"/>
        <w:ind w:firstLine="640"/>
        <w:jc w:val="both"/>
      </w:pPr>
      <w:r>
        <w:rPr>
          <w:rFonts w:ascii="仿宋_GB2312" w:hAnsi="仿宋_GB2312" w:eastAsia="仿宋_GB2312"/>
          <w:b w:val="0"/>
          <w:sz w:val="32"/>
        </w:rPr>
        <w:t>授予中小企业合同金额4,854.15万元，占政府采购支出总额的91.65%，其中：授予小微企业合同金额4,365.29万元，占政府采购支出总额的82.42%。</w:t>
      </w:r>
    </w:p>
    <w:p w14:paraId="380EF44F">
      <w:pPr>
        <w:spacing w:line="640" w:lineRule="exact"/>
        <w:ind w:firstLine="640"/>
        <w:jc w:val="both"/>
        <w:outlineLvl w:val="3"/>
      </w:pPr>
      <w:r>
        <w:rPr>
          <w:rFonts w:ascii="楷体_GB2312" w:hAnsi="楷体_GB2312" w:eastAsia="楷体_GB2312"/>
          <w:b/>
          <w:sz w:val="32"/>
        </w:rPr>
        <w:t>（三）国有资产占用情况说明</w:t>
      </w:r>
    </w:p>
    <w:p w14:paraId="04EBCC52">
      <w:pPr>
        <w:spacing w:line="580" w:lineRule="exact"/>
        <w:ind w:firstLine="640"/>
        <w:jc w:val="both"/>
      </w:pPr>
      <w:r>
        <w:rPr>
          <w:rFonts w:ascii="仿宋_GB2312" w:hAnsi="仿宋_GB2312" w:eastAsia="仿宋_GB2312"/>
          <w:b w:val="0"/>
          <w:sz w:val="32"/>
        </w:rPr>
        <w:t>截至2025年12月31日，房屋372,753.58平方米，价值45,673.72万元。车辆24辆，价值552.58万元，其中：副部（省）级及以上领导用车0辆、主要负责人用车0辆、机要通信用车0辆、应急保障用车0辆、执法执勤用车0辆、特种专业技术用车0辆、离退休干部服务用车0辆、其他用车24辆，其他用车主要是：一般公务用车和单位业务用车。单价100万元（含）以上设备（不含车辆）11台（套）。</w:t>
      </w:r>
    </w:p>
    <w:p w14:paraId="74ABF89A">
      <w:pPr>
        <w:spacing w:line="640" w:lineRule="exact"/>
        <w:ind w:firstLine="640"/>
        <w:jc w:val="both"/>
        <w:outlineLvl w:val="2"/>
      </w:pPr>
      <w:r>
        <w:rPr>
          <w:rFonts w:ascii="黑体" w:hAnsi="黑体" w:eastAsia="黑体"/>
          <w:sz w:val="32"/>
        </w:rPr>
        <w:t>十一、预算绩效的情况说明</w:t>
      </w:r>
    </w:p>
    <w:p w14:paraId="13FEF235">
      <w:pPr>
        <w:spacing w:line="580" w:lineRule="exact"/>
        <w:ind w:firstLine="640"/>
        <w:jc w:val="both"/>
      </w:pPr>
      <w:r>
        <w:rPr>
          <w:rFonts w:ascii="仿宋_GB2312" w:hAnsi="仿宋_GB2312" w:eastAsia="仿宋_GB2312"/>
          <w:b w:val="0"/>
          <w:sz w:val="32"/>
        </w:rPr>
        <w:t>根据预算绩效管理要求，本单位预算绩效评价项目1个，全年预算数10,700.49万元，全年执行数10,700.49万元。预算绩效管理取得的成效：预算绩效管理通过将绩效理念和方法深度融入预算编制、执行、监督全过程，在优化财政资源配置、提升资金使用效益、提升政府治理效能等方面取得了显著成效。主要成效体现在以下五个维度：一是优化财政资源配置，提升资金配置效率源头控本，压减低效无效支出：通过强化事前绩效评估，严把预算编制“入口关”，对低效、无效项目坚决取消或核减资金，从源头遏制了低效无效支出，实现了财政资金的“降本增效”。盘活存量，优化支出结构：通过事中绩效运行监控，及时纠偏，对执行滞后、资金沉淀的项目收回或调减预算，盘活了存量资金，将资金统筹用于民生保障、重大决策部署等亟需领域，提升了财政资源的统筹配置效率。二是提升资金使用效益，促进预算与绩效深度融合预算与绩效“一体化”：实现了绩效目标与预算编制同步（无绩效不预算）、绩效监控与预算执行同步、绩效评价与预算监督同步，有效解决了“重分配、轻管理，重支出、轻绩效”的“两张皮”问题，提升了预算管理的精细化、科学化水平。成本绩效管控：通过探索全成本预算绩效管理，科学测算投入成本与产出效益，优化成本支出标准，进一步提升了财政资金的使用效益和“物有所值”水平。三是强化结果应用，硬化预算刚性约束结果与预算挂钩：将绩效评价结果作为预算安排、专项资金分配、政策调整的重要依据，对评价结果优秀的项目予以资金倾斜，对评价结果差的项目压减或取消预算，形成了“奖优罚劣”的激励约束机制，强化了预算的刚性约束。推动问题整改：通过绩效评价结果反馈和整改机制，督促预算部门完善内部管理，优化业务流程，提升了财政资金的使用效益和政策实施效果。四是提升政府治理效能，增强部门责任意识压实主体责任：明确了各部门各单位为预算绩效管理的责任主体，将绩效管理纳入部门考核，推动了“花钱必问效、无效必问责”理念深入人心，提升了部门履职尽责的积极性和主动性。提升公共服务效能：通过绩效导向，推动财政资金向民生保障、公共服务、产业发展等重点领域倾斜，提升了公共服务的质量和群众满意度，增强了政府公信力和执行力。五是完善制度与体系建设，夯实管理基础健全制度框架：构建了“全方位、全过程、全覆盖”的预算绩效管理体系，完善了事前评估、目标管理、运行监控、绩效评价、结果应用的全链条闭环管理机制，提升了财政管理的规范化、标准化水平。强化技术支撑：依托预算管理一体化系统，实现了绩效数据的动态监控和信息化管理，提升了预算绩效管理的效率和精准度。发现的问题及原因：一是观念与认知层面：绩效理念淡薄，预算与绩效“两张皮”问题表现：部分单位“重投入轻管理、重支出轻绩效”，认为资金合规即可，对绩效管理重视不足，将绩效管理视为财务部门的“填表考核”，业务与绩效脱节。原因分析：传统预算管理“重分配、轻管理”的思维惯性根深蒂固；部分单位缺乏“花钱必问效”的紧迫感，缺乏主动推进绩效管理的动力，存在“路径依赖”和抵触情绪。二是机制与制度层面：体系不健全，结果应用乏力问题表现：预算与绩效未能实现“四同步”（同步编制、审核、批复、监控）；绩效自评流于形式，评价结果与预算安排、干部考核挂钩不紧密，导致“评归评、用归用”；部分单位缺乏明确的绩效问责机制，资金使用效益与责任人关联度低。原因分析：预算绩效管理的权责划分不清，缺乏高位阶的专门法律保障，制度执行缺乏刚性约束；部分单位内部缺乏有效的激励与约束机制，导致绩效管理难以形成闭环。三是指标与评价层面：指标设置不科学，评价结果失真问题表现：绩效指标设置笼统、量化程度低，重投入、轻产出，重短期效益、轻长期效益，难以全面反映资金实际效益；评价多停留在事后，事前评估和事中监控不足，评价结果主观性较强，难以真实反映项目成效。原因分析：缺乏科学、统一、分行业的绩效评价指标体系，指标设计缺乏针对性和可操作性；评价方法偏重定性，缺乏科学的量化标准，导致评价结果缺乏客观性和权威性。四是技术与管理层面：信息化滞后，过程监控乏力问题表现：预算绩效信息化系统建设薄弱，数据孤岛现象严重，难以实现全过程动态监控；预算执行与绩效目标监控脱节，事中纠偏能力弱，部分项目资金闲置或执行率低下。原因分析：信息化建设投入不足，技术与管理结合不紧密，难以满足大数据时代下的绩效管理需求；部分单位管理基础薄弱，缺乏有效的绩效运行监控机制，难以实现预算与绩效的实时联动。五是监督与公开层面：监督力度不足，透明度不高问题表现：预算绩效信息公开不充分，公众和第三方监督参与度低；事前、事中、事后监督机制不健全，缺乏有效的外部评价和问责机制，导致部分单位“报喜不报忧”，掩盖真实问题。原因分析：预算透明度不高，信息不对称导致监督成本较高；部分单位内部监督流于形式，缺乏有效的社会监督和舆论监督机制，难以形成有效的外部倒逼机制。六是人员与执行层面：专业能力不足，责任落实不到位问题表现：基层单位缺乏专业的绩效管理人才，财务人员“一岗多责”，难以胜任复杂的绩效评估工作；业务部门与财务部门协同不畅，业务部门绩效主体责任意识不强，导致绩效目标填报敷衍，执行监控难以落地。原因分析：预算绩效管理涉及多学科知识，复合型人才匮乏；部分单位人员配置不足，缺乏系统的绩效培训，导致绩效管理执行效果打折扣；同时，部分单位“剩余控制权”与“剩余索取权”分离，导致基层执行动力不足。下一步改进措施：一是强化理念引领，压实绩效管理主体责任树牢绩效导向：转变“重投入轻效益”的惯性思维，树立“花钱必问效、无效必问责”的鲜明导向，将绩效理念深度融入预算编制、执行、监督、决算全过程。压实主体责任：明确“谁使用资金、谁负责绩效”的主体责任，将预算绩效管理纳入部门年度绩效考核和干部考核体系，将考核结果与部门及人员工作业绩挂钩，变外部约束为内生动力。二是完善全过程闭环管理，优化各环节管控严把事前评估与目标审核关：将事前绩效评估作为项目立项和资金安排的刚性前置条件，严格审核项目立项的必要性、可行性和绩效目标的科学性，从源头杜绝低效项目进入预算盘子。强化事中动态监控：依托预算管理一体化系统，建立“红黄灯”预警机制，对预算执行进度、绩效目标实现程度进行动态跟踪和实时纠偏，及时预警并督促整改执行偏差。提升事后评价质效：优化绩效评价指标体系，细化产出、效益、满意度等指标，提升评价的精准性和客观性；扩大绩效评价覆盖面，实现项目、部门整体、政策评价全覆盖，并引入第三方专业机构参与评价，提升评价质量。三是优化指标体系，提升绩效目标精准度构建科学指标体系：分行业、分领域、分层次建立核心绩效指标与标准体系，细化量化指标，减少定性指标的模糊性，确保指标与部门职能、政策导向紧密衔接。建立动态调整机制：结合历史数据、行业标准和政策变化，动态优化指标权重和指标值，解决指标设定偏高或偏低的问题，提升指标对预算编制和资金分配的指导性。四是深化结果应用，强化绩效刚性约束强化结果与预算挂钩：建立绩效评价结果与预算安排、资金分配、政策调整、项目立项的实质性挂钩机制。对绩效评价优良的项目优先保障资金，对低效项目压减或取消预算，打破资金分配固化格局。建立长效整改机制：建立绩效评价问题台账，对评价发现的问题逐项通报、限期整改，并开展“回头看”检查，将整改情况与下年度预算挂钩，形成“评价</w:t>
      </w:r>
      <w:r>
        <w:rPr>
          <w:rFonts w:hint="eastAsia" w:ascii="仿宋_GB2312" w:hAnsi="仿宋_GB2312" w:eastAsia="仿宋_GB2312"/>
          <w:b w:val="0"/>
          <w:sz w:val="32"/>
          <w:lang w:eastAsia="zh-CN"/>
        </w:rPr>
        <w:t>－</w:t>
      </w:r>
      <w:r>
        <w:rPr>
          <w:rFonts w:ascii="仿宋_GB2312" w:hAnsi="仿宋_GB2312" w:eastAsia="仿宋_GB2312"/>
          <w:b w:val="0"/>
          <w:sz w:val="32"/>
        </w:rPr>
        <w:t>反馈</w:t>
      </w:r>
      <w:r>
        <w:rPr>
          <w:rFonts w:hint="eastAsia" w:ascii="仿宋_GB2312" w:hAnsi="仿宋_GB2312" w:eastAsia="仿宋_GB2312"/>
          <w:b w:val="0"/>
          <w:sz w:val="32"/>
          <w:lang w:eastAsia="zh-CN"/>
        </w:rPr>
        <w:t>－</w:t>
      </w:r>
      <w:r>
        <w:rPr>
          <w:rFonts w:ascii="仿宋_GB2312" w:hAnsi="仿宋_GB2312" w:eastAsia="仿宋_GB2312"/>
          <w:b w:val="0"/>
          <w:sz w:val="32"/>
        </w:rPr>
        <w:t>整改</w:t>
      </w:r>
      <w:r>
        <w:rPr>
          <w:rFonts w:hint="eastAsia" w:ascii="仿宋_GB2312" w:hAnsi="仿宋_GB2312" w:eastAsia="仿宋_GB2312"/>
          <w:b w:val="0"/>
          <w:sz w:val="32"/>
          <w:lang w:eastAsia="zh-CN"/>
        </w:rPr>
        <w:t>－</w:t>
      </w:r>
      <w:r>
        <w:rPr>
          <w:rFonts w:ascii="仿宋_GB2312" w:hAnsi="仿宋_GB2312" w:eastAsia="仿宋_GB2312"/>
          <w:b w:val="0"/>
          <w:sz w:val="32"/>
        </w:rPr>
        <w:t>提升”的闭环。五是强化技术赋能，提升信息化与数据支撑打通数据壁垒：推动预算系统与绩效系统的深度融合，实现预算与绩效数据的互联互通，实现历史绩效评价结果在预算编制环节的实时共享与智能分析，为预算决策提供数据支撑。提升系统智能化：利用大数据技术优化绩效监控和评价系统，实现绩效数据的自动归集、分析和预警，减少人工重复劳动，提升绩效管理的工作效率。六是加强队伍建设，提升专业化水平加强业务培训：常态化开展预算绩效管理政策、指标设定、评价方法等专项培训，提升财政部门和预算单位相关人员的专业化水平和实操能力。具体附项目支出绩效自评表。具体附项目支出绩效自评表。</w:t>
      </w:r>
    </w:p>
    <w:p w14:paraId="71788CA1">
      <w:r>
        <w:br w:type="page"/>
      </w:r>
    </w:p>
    <w:p w14:paraId="3BF56EE8">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A3779A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09AF1FC">
            <w:pPr>
              <w:spacing w:before="0" w:after="0" w:line="240" w:lineRule="auto"/>
              <w:jc w:val="center"/>
            </w:pPr>
            <w:r>
              <w:rPr>
                <w:rFonts w:ascii="宋体" w:hAnsi="宋体" w:eastAsia="宋体"/>
                <w:b/>
                <w:i w:val="0"/>
                <w:sz w:val="32"/>
              </w:rPr>
              <w:t>项目支出绩效自评表</w:t>
            </w:r>
          </w:p>
        </w:tc>
      </w:tr>
      <w:tr w14:paraId="11F95E4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26A98C">
            <w:pPr>
              <w:spacing w:before="0" w:after="0" w:line="240" w:lineRule="auto"/>
              <w:jc w:val="center"/>
            </w:pPr>
            <w:r>
              <w:rPr>
                <w:rFonts w:ascii="宋体" w:hAnsi="宋体" w:eastAsia="宋体"/>
                <w:b w:val="0"/>
                <w:i w:val="0"/>
                <w:sz w:val="22"/>
              </w:rPr>
              <w:t>(2025年度)</w:t>
            </w:r>
          </w:p>
        </w:tc>
      </w:tr>
      <w:tr w14:paraId="1B19364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6B90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5037AB4">
            <w:pPr>
              <w:spacing w:before="0" w:after="0" w:line="240" w:lineRule="auto"/>
              <w:jc w:val="center"/>
            </w:pPr>
            <w:r>
              <w:rPr>
                <w:rFonts w:ascii="宋体" w:hAnsi="宋体" w:eastAsia="宋体"/>
                <w:b w:val="0"/>
                <w:i w:val="0"/>
                <w:sz w:val="18"/>
              </w:rPr>
              <w:t>2025年部门预算非财政拨款项目</w:t>
            </w:r>
          </w:p>
        </w:tc>
      </w:tr>
      <w:tr w14:paraId="184FFD4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E6D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F9AC78">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6DC78">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7B8EAE">
            <w:pPr>
              <w:spacing w:before="0" w:after="0" w:line="240" w:lineRule="auto"/>
              <w:jc w:val="center"/>
            </w:pPr>
            <w:r>
              <w:rPr>
                <w:rFonts w:ascii="宋体" w:hAnsi="宋体" w:eastAsia="宋体"/>
                <w:b w:val="0"/>
                <w:i w:val="0"/>
                <w:sz w:val="18"/>
              </w:rPr>
              <w:t>新疆农业职业技术大学</w:t>
            </w:r>
          </w:p>
        </w:tc>
      </w:tr>
      <w:tr w14:paraId="5EC516E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5336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270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5F1E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684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B208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8691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D5B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D6CF0">
            <w:pPr>
              <w:spacing w:before="0" w:after="0" w:line="240" w:lineRule="auto"/>
              <w:jc w:val="center"/>
            </w:pPr>
            <w:r>
              <w:rPr>
                <w:rFonts w:ascii="宋体" w:hAnsi="宋体" w:eastAsia="宋体"/>
                <w:b/>
                <w:i w:val="0"/>
                <w:sz w:val="18"/>
              </w:rPr>
              <w:t>得分</w:t>
            </w:r>
          </w:p>
        </w:tc>
      </w:tr>
      <w:tr w14:paraId="22DDE82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DC354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EBCB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097F6">
            <w:pPr>
              <w:spacing w:before="0" w:after="0" w:line="240" w:lineRule="auto"/>
              <w:jc w:val="center"/>
            </w:pPr>
            <w:r>
              <w:rPr>
                <w:rFonts w:ascii="宋体" w:hAnsi="宋体" w:eastAsia="宋体"/>
                <w:b w:val="0"/>
                <w:i w:val="0"/>
                <w:sz w:val="18"/>
              </w:rPr>
              <w:t>10700.49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0E52">
            <w:pPr>
              <w:spacing w:before="0" w:after="0" w:line="240" w:lineRule="auto"/>
              <w:jc w:val="center"/>
            </w:pPr>
            <w:r>
              <w:rPr>
                <w:rFonts w:ascii="宋体" w:hAnsi="宋体" w:eastAsia="宋体"/>
                <w:b w:val="0"/>
                <w:i w:val="0"/>
                <w:sz w:val="18"/>
              </w:rPr>
              <w:t>10700.49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6A2D">
            <w:pPr>
              <w:spacing w:before="0" w:after="0" w:line="240" w:lineRule="auto"/>
              <w:jc w:val="center"/>
            </w:pPr>
            <w:r>
              <w:rPr>
                <w:rFonts w:ascii="宋体" w:hAnsi="宋体" w:eastAsia="宋体"/>
                <w:b w:val="0"/>
                <w:i w:val="0"/>
                <w:sz w:val="18"/>
              </w:rPr>
              <w:t>10700.49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355A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1D5A">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E3EF3">
            <w:pPr>
              <w:spacing w:before="0" w:after="0" w:line="240" w:lineRule="auto"/>
              <w:jc w:val="center"/>
            </w:pPr>
            <w:r>
              <w:rPr>
                <w:rFonts w:ascii="宋体" w:hAnsi="宋体" w:eastAsia="宋体"/>
                <w:b w:val="0"/>
                <w:i w:val="0"/>
                <w:sz w:val="18"/>
              </w:rPr>
              <w:t>10.00</w:t>
            </w:r>
          </w:p>
        </w:tc>
      </w:tr>
      <w:tr w14:paraId="5518511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9502D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E30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D3DF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D0CE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962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B6EC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67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0F81E">
            <w:pPr>
              <w:spacing w:before="0" w:after="0" w:line="240" w:lineRule="auto"/>
              <w:jc w:val="center"/>
            </w:pPr>
            <w:r>
              <w:rPr>
                <w:rFonts w:ascii="宋体" w:hAnsi="宋体" w:eastAsia="宋体"/>
                <w:b w:val="0"/>
                <w:i w:val="0"/>
                <w:sz w:val="18"/>
              </w:rPr>
              <w:t>—</w:t>
            </w:r>
          </w:p>
        </w:tc>
      </w:tr>
      <w:tr w14:paraId="24FFC2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D8FF5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1E13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DA298">
            <w:pPr>
              <w:spacing w:before="0" w:after="0" w:line="240" w:lineRule="auto"/>
              <w:jc w:val="center"/>
            </w:pPr>
            <w:r>
              <w:rPr>
                <w:rFonts w:ascii="宋体" w:hAnsi="宋体" w:eastAsia="宋体"/>
                <w:b w:val="0"/>
                <w:i w:val="0"/>
                <w:sz w:val="18"/>
              </w:rPr>
              <w:t>10700.49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FB90">
            <w:pPr>
              <w:spacing w:before="0" w:after="0" w:line="240" w:lineRule="auto"/>
              <w:jc w:val="center"/>
            </w:pPr>
            <w:r>
              <w:rPr>
                <w:rFonts w:ascii="宋体" w:hAnsi="宋体" w:eastAsia="宋体"/>
                <w:b w:val="0"/>
                <w:i w:val="0"/>
                <w:sz w:val="18"/>
              </w:rPr>
              <w:t>10700.49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EB005">
            <w:pPr>
              <w:spacing w:before="0" w:after="0" w:line="240" w:lineRule="auto"/>
              <w:jc w:val="center"/>
            </w:pPr>
            <w:r>
              <w:rPr>
                <w:rFonts w:ascii="宋体" w:hAnsi="宋体" w:eastAsia="宋体"/>
                <w:b w:val="0"/>
                <w:i w:val="0"/>
                <w:sz w:val="18"/>
              </w:rPr>
              <w:t>10700.49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2517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5C6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0F5AC">
            <w:pPr>
              <w:spacing w:before="0" w:after="0" w:line="240" w:lineRule="auto"/>
              <w:jc w:val="center"/>
            </w:pPr>
            <w:r>
              <w:rPr>
                <w:rFonts w:ascii="宋体" w:hAnsi="宋体" w:eastAsia="宋体"/>
                <w:b w:val="0"/>
                <w:i w:val="0"/>
                <w:sz w:val="18"/>
              </w:rPr>
              <w:t>—</w:t>
            </w:r>
          </w:p>
        </w:tc>
      </w:tr>
      <w:tr w14:paraId="2844BF3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9552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D2B6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25D80">
            <w:pPr>
              <w:spacing w:before="0" w:after="0" w:line="240" w:lineRule="auto"/>
              <w:jc w:val="center"/>
            </w:pPr>
            <w:r>
              <w:rPr>
                <w:rFonts w:ascii="宋体" w:hAnsi="宋体" w:eastAsia="宋体"/>
                <w:b/>
                <w:i w:val="0"/>
                <w:sz w:val="18"/>
              </w:rPr>
              <w:t>实际完成情况</w:t>
            </w:r>
          </w:p>
        </w:tc>
      </w:tr>
      <w:tr w14:paraId="73EE765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230D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8E5748">
            <w:pPr>
              <w:spacing w:before="0" w:after="0" w:line="240" w:lineRule="auto"/>
              <w:jc w:val="center"/>
            </w:pPr>
            <w:r>
              <w:rPr>
                <w:rFonts w:ascii="宋体" w:hAnsi="宋体" w:eastAsia="宋体"/>
                <w:b w:val="0"/>
                <w:i w:val="0"/>
                <w:sz w:val="18"/>
              </w:rPr>
              <w:t>依据《关于支持新疆农业职业技术学院 新疆轻工学院职业技术学院实施“双高计划”工作方案的通知》（新政办函〔2020〕91号）文件要求。校园基础设施得到基本保障，改善办学条件。给学生提供较为舒适的学习环境，激起学生学习的兴趣；给老师提供良好的办公环境，激起他们工作的热情。
    确保学校教学日常运行和教学改革顺利开展。校企深度合作，企业深入专业人才培养，课程教学，实习就业；学生思想政治教育不断加强，思政课教师不断更新专业知识，增强教学技艺；教学场所基础设施条件不断提升，教室配套设施到位。
    深化产教联合体、产教融合共同体建设，打造高水平专业群，升级改造专业群教学资源，建设高水平双师队伍，开发优质新形态教材，建设产教融合实训基地，拓展国际交流合作。
    按照培训合同内容，认真制定培训方案，年度内承接并完成农机行业从业人员培训不少于200人次，承接并完成农业行业其他领域从业人员培训不少于200人次；面向农业行业、企业开展关键技术攻关、质量检测、工艺优化、技术推广和服务，签订横向技术服务合同到款额不少于200万元；积极促进学院现有科研成果实现转化。</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98DAC">
            <w:pPr>
              <w:spacing w:before="0" w:after="0" w:line="240" w:lineRule="auto"/>
              <w:jc w:val="center"/>
            </w:pPr>
            <w:r>
              <w:rPr>
                <w:rFonts w:ascii="宋体" w:hAnsi="宋体" w:eastAsia="宋体"/>
                <w:b w:val="0"/>
                <w:i w:val="0"/>
                <w:sz w:val="18"/>
              </w:rPr>
              <w:t>依据《关于支持新疆农业职业技术学院 新疆轻工学院职业技术学院实施“双高计划”工作方案的通知》（新政办函〔2020〕91号）文件要求。校园基础设施得到基本保障，改善办学条件。给学生提供较为舒适的学习环境，激起学生学习的兴趣；给老师提供良好的办公环境，激起他们工作的热情。 确保学校教学日常运行和教学改革顺利开展。校企深度合作，企业深入专业人才培养，课程教学，实习就业；学生思想政治教育不断加强，思政课教师不断更新专业知识，增强教学技艺；教学场所基础设施条件不断提升，教室配套设施到位。 深化产教联合体、产教融合共同体建设，打造高水平专业群，升级改造专业群教学资源，建设高水平双师队伍，开发优质新形态教材，建设产教融合实训基地，拓展国际交流合作。 按照培训合同内容，认真制定培训方案，年度内承接并完成农机行业从业人员培训不少于200人次，承接并完成农业行业其他领域从业人员培训不少于200人次；面向农业行业、企业开展关键技术攻关、质量检测、工艺优化、技术推广和服务，签订横向技术服务合同到款额不少于200万元；积极促进学院现有科研成果实现转化。</w:t>
            </w:r>
          </w:p>
        </w:tc>
      </w:tr>
      <w:tr w14:paraId="43B2011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4B4B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CA8B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9570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8F63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AF24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A39D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1270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B43B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BC4E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C56A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15851">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2349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1013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FE96D">
            <w:pPr>
              <w:spacing w:before="0" w:after="0" w:line="240" w:lineRule="auto"/>
              <w:jc w:val="center"/>
            </w:pPr>
            <w:r>
              <w:rPr>
                <w:rFonts w:ascii="宋体" w:hAnsi="宋体" w:eastAsia="宋体"/>
                <w:b/>
                <w:i w:val="0"/>
                <w:sz w:val="18"/>
              </w:rPr>
              <w:t>偏差原因分析及改进措施</w:t>
            </w:r>
          </w:p>
        </w:tc>
      </w:tr>
      <w:tr w14:paraId="43AEC42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A507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A875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35DC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C373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E5B6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6816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3438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063D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B62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FDE4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47B0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BA8B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E827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0A8EB3"/>
        </w:tc>
      </w:tr>
      <w:tr w14:paraId="7D5CA97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7AA3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D635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6860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A507D">
            <w:pPr>
              <w:spacing w:before="0" w:after="0" w:line="240" w:lineRule="auto"/>
              <w:jc w:val="center"/>
            </w:pPr>
            <w:r>
              <w:rPr>
                <w:rFonts w:ascii="宋体" w:hAnsi="宋体" w:eastAsia="宋体"/>
                <w:b w:val="0"/>
                <w:i w:val="0"/>
                <w:sz w:val="18"/>
              </w:rPr>
              <w:t>专项债券项目建筑数量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C43D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62A6E">
            <w:pPr>
              <w:spacing w:before="0" w:after="0" w:line="240" w:lineRule="auto"/>
              <w:jc w:val="center"/>
            </w:pPr>
            <w:r>
              <w:rPr>
                <w:rFonts w:ascii="宋体" w:hAnsi="宋体" w:eastAsia="宋体"/>
                <w:b w:val="0"/>
                <w:i w:val="0"/>
                <w:sz w:val="18"/>
              </w:rPr>
              <w:t>=8栋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AA245">
            <w:pPr>
              <w:spacing w:before="0" w:after="0" w:line="240" w:lineRule="auto"/>
              <w:jc w:val="center"/>
            </w:pPr>
            <w:r>
              <w:rPr>
                <w:rFonts w:ascii="宋体" w:hAnsi="宋体" w:eastAsia="宋体"/>
                <w:b w:val="0"/>
                <w:i w:val="0"/>
                <w:sz w:val="18"/>
              </w:rPr>
              <w:t>=8栋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7C0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6AB4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9631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447ED">
            <w:pPr>
              <w:spacing w:before="0" w:after="0" w:line="240" w:lineRule="auto"/>
              <w:jc w:val="center"/>
            </w:pPr>
            <w:r>
              <w:rPr>
                <w:rFonts w:ascii="宋体" w:hAnsi="宋体" w:eastAsia="宋体"/>
                <w:b w:val="0"/>
                <w:i w:val="0"/>
                <w:sz w:val="18"/>
              </w:rPr>
              <w:t>11栋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397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E7FC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DD25C">
            <w:pPr>
              <w:spacing w:before="0" w:after="0" w:line="240" w:lineRule="auto"/>
              <w:jc w:val="center"/>
            </w:pPr>
          </w:p>
        </w:tc>
      </w:tr>
      <w:tr w14:paraId="68FFF5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74D5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4BF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72D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49BB9">
            <w:pPr>
              <w:spacing w:before="0" w:after="0" w:line="240" w:lineRule="auto"/>
              <w:jc w:val="center"/>
            </w:pPr>
            <w:r>
              <w:rPr>
                <w:rFonts w:ascii="宋体" w:hAnsi="宋体" w:eastAsia="宋体"/>
                <w:b w:val="0"/>
                <w:i w:val="0"/>
                <w:sz w:val="18"/>
              </w:rPr>
              <w:t>归还利息数量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D377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F8312">
            <w:pPr>
              <w:spacing w:before="0" w:after="0" w:line="240" w:lineRule="auto"/>
              <w:jc w:val="center"/>
            </w:pPr>
            <w:r>
              <w:rPr>
                <w:rFonts w:ascii="宋体" w:hAnsi="宋体" w:eastAsia="宋体"/>
                <w:b w:val="0"/>
                <w:i w:val="0"/>
                <w:sz w:val="18"/>
              </w:rPr>
              <w:t>=5批次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C31DD">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246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59CC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BEB7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E2A6F">
            <w:pPr>
              <w:spacing w:before="0" w:after="0" w:line="240" w:lineRule="auto"/>
              <w:jc w:val="center"/>
            </w:pPr>
            <w:r>
              <w:rPr>
                <w:rFonts w:ascii="宋体" w:hAnsi="宋体" w:eastAsia="宋体"/>
                <w:b w:val="0"/>
                <w:i w:val="0"/>
                <w:sz w:val="18"/>
              </w:rPr>
              <w:t>5批次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9978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425E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2E007">
            <w:pPr>
              <w:spacing w:before="0" w:after="0" w:line="240" w:lineRule="auto"/>
              <w:jc w:val="center"/>
            </w:pPr>
          </w:p>
        </w:tc>
      </w:tr>
      <w:tr w14:paraId="1D3455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4E6B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0FE6F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5910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992FE">
            <w:pPr>
              <w:spacing w:before="0" w:after="0" w:line="240" w:lineRule="auto"/>
              <w:jc w:val="center"/>
            </w:pPr>
            <w:r>
              <w:rPr>
                <w:rFonts w:ascii="宋体" w:hAnsi="宋体" w:eastAsia="宋体"/>
                <w:b w:val="0"/>
                <w:i w:val="0"/>
                <w:sz w:val="18"/>
              </w:rPr>
              <w:t>校企合作企业数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230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7C1C9">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0AD70">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07F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091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21C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1E2D5">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99E77">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D2EB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BA304">
            <w:pPr>
              <w:spacing w:before="0" w:after="0" w:line="240" w:lineRule="auto"/>
              <w:jc w:val="center"/>
            </w:pPr>
          </w:p>
        </w:tc>
      </w:tr>
      <w:tr w14:paraId="28BF21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9E30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0DAA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F06F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C8699">
            <w:pPr>
              <w:spacing w:before="0" w:after="0" w:line="240" w:lineRule="auto"/>
              <w:jc w:val="center"/>
            </w:pPr>
            <w:r>
              <w:rPr>
                <w:rFonts w:ascii="宋体" w:hAnsi="宋体" w:eastAsia="宋体"/>
                <w:b w:val="0"/>
                <w:i w:val="0"/>
                <w:sz w:val="18"/>
              </w:rPr>
              <w:t>建设高水平专业群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1286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CA4C0">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F6D81">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FF2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6ACE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9A48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F1710">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DCEEA">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FD8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3BF7C">
            <w:pPr>
              <w:spacing w:before="0" w:after="0" w:line="240" w:lineRule="auto"/>
              <w:jc w:val="center"/>
            </w:pPr>
          </w:p>
        </w:tc>
      </w:tr>
      <w:tr w14:paraId="3AB587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6423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20EE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E519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4227C">
            <w:pPr>
              <w:spacing w:before="0" w:after="0" w:line="240" w:lineRule="auto"/>
              <w:jc w:val="center"/>
            </w:pPr>
            <w:r>
              <w:rPr>
                <w:rFonts w:ascii="宋体" w:hAnsi="宋体" w:eastAsia="宋体"/>
                <w:b w:val="0"/>
                <w:i w:val="0"/>
                <w:sz w:val="18"/>
              </w:rPr>
              <w:t>开展横向技术服务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A53E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86260">
            <w:pPr>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2A010">
            <w:pPr>
              <w:spacing w:before="0" w:after="0" w:line="240" w:lineRule="auto"/>
              <w:jc w:val="center"/>
            </w:pPr>
            <w:r>
              <w:rPr>
                <w:rFonts w:ascii="宋体" w:hAnsi="宋体" w:eastAsia="宋体"/>
                <w:b w:val="0"/>
                <w:i w:val="0"/>
                <w:sz w:val="18"/>
              </w:rPr>
              <w:t>=23项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326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D9E9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800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B75FF">
            <w:pPr>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52AF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93B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582AC">
            <w:pPr>
              <w:spacing w:before="0" w:after="0" w:line="240" w:lineRule="auto"/>
              <w:jc w:val="center"/>
            </w:pPr>
          </w:p>
        </w:tc>
      </w:tr>
      <w:tr w14:paraId="334FC1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5B39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9DAD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3711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E236C">
            <w:pPr>
              <w:spacing w:before="0" w:after="0" w:line="240" w:lineRule="auto"/>
              <w:jc w:val="center"/>
            </w:pPr>
            <w:r>
              <w:rPr>
                <w:rFonts w:ascii="宋体" w:hAnsi="宋体" w:eastAsia="宋体"/>
                <w:b w:val="0"/>
                <w:i w:val="0"/>
                <w:sz w:val="18"/>
              </w:rPr>
              <w:t>助学补助人数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E4AB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EA563">
            <w:pPr>
              <w:spacing w:before="0" w:after="0" w:line="240" w:lineRule="auto"/>
              <w:jc w:val="center"/>
            </w:pPr>
            <w:r>
              <w:rPr>
                <w:rFonts w:ascii="宋体" w:hAnsi="宋体" w:eastAsia="宋体"/>
                <w:b w:val="0"/>
                <w:i w:val="0"/>
                <w:sz w:val="18"/>
              </w:rPr>
              <w:t>&gt;=2000人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CFC76">
            <w:pPr>
              <w:spacing w:before="0" w:after="0" w:line="240" w:lineRule="auto"/>
              <w:jc w:val="center"/>
            </w:pPr>
            <w:r>
              <w:rPr>
                <w:rFonts w:ascii="宋体" w:hAnsi="宋体" w:eastAsia="宋体"/>
                <w:b w:val="0"/>
                <w:i w:val="0"/>
                <w:sz w:val="18"/>
              </w:rPr>
              <w:t>=2273人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63E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A6A4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8213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8D9FA">
            <w:pPr>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E6E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00B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E9232">
            <w:pPr>
              <w:spacing w:before="0" w:after="0" w:line="240" w:lineRule="auto"/>
              <w:jc w:val="center"/>
            </w:pPr>
          </w:p>
        </w:tc>
      </w:tr>
      <w:tr w14:paraId="7F9B67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4F39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11666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F775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F2AA7">
            <w:pPr>
              <w:spacing w:before="0" w:after="0" w:line="240" w:lineRule="auto"/>
              <w:jc w:val="center"/>
            </w:pPr>
            <w:r>
              <w:rPr>
                <w:rFonts w:ascii="宋体" w:hAnsi="宋体" w:eastAsia="宋体"/>
                <w:b w:val="0"/>
                <w:i w:val="0"/>
                <w:sz w:val="18"/>
              </w:rPr>
              <w:t>工程建设验收合格率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6F37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CF31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B5319">
            <w:pPr>
              <w:spacing w:before="0" w:after="0" w:line="240" w:lineRule="auto"/>
              <w:jc w:val="center"/>
            </w:pPr>
            <w:r>
              <w:rPr>
                <w:rFonts w:ascii="宋体" w:hAnsi="宋体" w:eastAsia="宋体"/>
                <w:b w:val="0"/>
                <w:i w:val="0"/>
                <w:sz w:val="18"/>
              </w:rPr>
              <w:t>=87.5%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6A9FA">
            <w:pPr>
              <w:spacing w:before="0" w:after="0" w:line="240" w:lineRule="auto"/>
              <w:jc w:val="center"/>
            </w:pPr>
            <w:r>
              <w:rPr>
                <w:rFonts w:ascii="宋体" w:hAnsi="宋体" w:eastAsia="宋体"/>
                <w:b w:val="0"/>
                <w:i w:val="0"/>
                <w:sz w:val="18"/>
              </w:rPr>
              <w:t>87.5%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E1DE4">
            <w:pPr>
              <w:spacing w:before="0" w:after="0" w:line="240" w:lineRule="auto"/>
              <w:jc w:val="center"/>
            </w:pPr>
            <w:r>
              <w:rPr>
                <w:rFonts w:ascii="宋体" w:hAnsi="宋体" w:eastAsia="宋体"/>
                <w:b w:val="0"/>
                <w:i w:val="0"/>
                <w:sz w:val="18"/>
              </w:rPr>
              <w:t>2.75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51DD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2E81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1BF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BA9E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2944A">
            <w:pPr>
              <w:spacing w:before="0" w:after="0" w:line="240" w:lineRule="auto"/>
              <w:jc w:val="center"/>
            </w:pPr>
          </w:p>
        </w:tc>
      </w:tr>
      <w:tr w14:paraId="353B6A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0582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BE2D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083E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CDD28">
            <w:pPr>
              <w:spacing w:before="0" w:after="0" w:line="240" w:lineRule="auto"/>
              <w:jc w:val="center"/>
            </w:pPr>
            <w:r>
              <w:rPr>
                <w:rFonts w:ascii="宋体" w:hAnsi="宋体" w:eastAsia="宋体"/>
                <w:b w:val="0"/>
                <w:i w:val="0"/>
                <w:sz w:val="18"/>
              </w:rPr>
              <w:t>还本付息逾期时间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CA4A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13EDC">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A66CE">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080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44404">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CB64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C3E1A">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EA0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68D1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F75D7">
            <w:pPr>
              <w:spacing w:before="0" w:after="0" w:line="240" w:lineRule="auto"/>
              <w:jc w:val="center"/>
            </w:pPr>
          </w:p>
        </w:tc>
      </w:tr>
      <w:tr w14:paraId="25C2F9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06502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26C5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1F8D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8B949">
            <w:pPr>
              <w:spacing w:before="0" w:after="0" w:line="240" w:lineRule="auto"/>
              <w:jc w:val="center"/>
            </w:pPr>
            <w:r>
              <w:rPr>
                <w:rFonts w:ascii="宋体" w:hAnsi="宋体" w:eastAsia="宋体"/>
                <w:b w:val="0"/>
                <w:i w:val="0"/>
                <w:sz w:val="18"/>
              </w:rPr>
              <w:t>专业群建设成本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2B9A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E4E78">
            <w:pPr>
              <w:spacing w:before="0" w:after="0" w:line="240" w:lineRule="auto"/>
              <w:jc w:val="center"/>
            </w:pPr>
            <w:r>
              <w:rPr>
                <w:rFonts w:ascii="宋体" w:hAnsi="宋体" w:eastAsia="宋体"/>
                <w:b w:val="0"/>
                <w:i w:val="0"/>
                <w:sz w:val="18"/>
              </w:rPr>
              <w:t>&lt;=405万元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A274D">
            <w:pPr>
              <w:spacing w:before="0" w:after="0" w:line="240" w:lineRule="auto"/>
              <w:jc w:val="center"/>
            </w:pPr>
            <w:r>
              <w:rPr>
                <w:rFonts w:ascii="宋体" w:hAnsi="宋体" w:eastAsia="宋体"/>
                <w:b w:val="0"/>
                <w:i w:val="0"/>
                <w:sz w:val="18"/>
              </w:rPr>
              <w:t>=404.493万元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33A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7DA3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B29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1FFDB">
            <w:pPr>
              <w:spacing w:before="0" w:after="0" w:line="240" w:lineRule="auto"/>
              <w:jc w:val="center"/>
            </w:pPr>
            <w:r>
              <w:rPr>
                <w:rFonts w:ascii="宋体" w:hAnsi="宋体" w:eastAsia="宋体"/>
                <w:b w:val="0"/>
                <w:i w:val="0"/>
                <w:sz w:val="18"/>
              </w:rPr>
              <w:t>345万元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3FCE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73A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3A5A6">
            <w:pPr>
              <w:spacing w:before="0" w:after="0" w:line="240" w:lineRule="auto"/>
              <w:jc w:val="center"/>
            </w:pPr>
          </w:p>
        </w:tc>
      </w:tr>
      <w:tr w14:paraId="6AB826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73F5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74AC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FD68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ADFBB">
            <w:pPr>
              <w:spacing w:before="0" w:after="0" w:line="240" w:lineRule="auto"/>
              <w:jc w:val="center"/>
            </w:pPr>
            <w:r>
              <w:rPr>
                <w:rFonts w:ascii="宋体" w:hAnsi="宋体" w:eastAsia="宋体"/>
                <w:b w:val="0"/>
                <w:i w:val="0"/>
                <w:sz w:val="18"/>
              </w:rPr>
              <w:t>培训人均标准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3E57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8B860">
            <w:pPr>
              <w:spacing w:before="0" w:after="0" w:line="240" w:lineRule="auto"/>
              <w:jc w:val="center"/>
            </w:pPr>
            <w:r>
              <w:rPr>
                <w:rFonts w:ascii="宋体" w:hAnsi="宋体" w:eastAsia="宋体"/>
                <w:b w:val="0"/>
                <w:i w:val="0"/>
                <w:sz w:val="18"/>
              </w:rPr>
              <w:t>&lt;=550元/人/天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BBD7D">
            <w:pPr>
              <w:spacing w:before="0" w:after="0" w:line="240" w:lineRule="auto"/>
              <w:jc w:val="center"/>
            </w:pPr>
            <w:r>
              <w:rPr>
                <w:rFonts w:ascii="宋体" w:hAnsi="宋体" w:eastAsia="宋体"/>
                <w:b w:val="0"/>
                <w:i w:val="0"/>
                <w:sz w:val="18"/>
              </w:rPr>
              <w:t>=465.7元/人/天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BFC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83B6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3672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54216">
            <w:pPr>
              <w:spacing w:before="0" w:after="0" w:line="240" w:lineRule="auto"/>
              <w:jc w:val="center"/>
            </w:pPr>
            <w:r>
              <w:rPr>
                <w:rFonts w:ascii="宋体" w:hAnsi="宋体" w:eastAsia="宋体"/>
                <w:b w:val="0"/>
                <w:i w:val="0"/>
                <w:sz w:val="18"/>
              </w:rPr>
              <w:t>550元/人/天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B38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659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E2C64">
            <w:pPr>
              <w:spacing w:before="0" w:after="0" w:line="240" w:lineRule="auto"/>
              <w:jc w:val="center"/>
            </w:pPr>
          </w:p>
        </w:tc>
      </w:tr>
      <w:tr w14:paraId="2126A1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1C9D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668B7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1696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85B7C">
            <w:pPr>
              <w:spacing w:before="0" w:after="0" w:line="240" w:lineRule="auto"/>
              <w:jc w:val="center"/>
            </w:pPr>
            <w:r>
              <w:rPr>
                <w:rFonts w:ascii="宋体" w:hAnsi="宋体" w:eastAsia="宋体"/>
                <w:b w:val="0"/>
                <w:i w:val="0"/>
                <w:sz w:val="18"/>
              </w:rPr>
              <w:t>高校伙食补助标准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20C5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99AE9">
            <w:pPr>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80083">
            <w:pPr>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AEA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20EB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08FA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BDB90">
            <w:pPr>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D7DB3">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7F0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775AD">
            <w:pPr>
              <w:spacing w:before="0" w:after="0" w:line="240" w:lineRule="auto"/>
              <w:jc w:val="center"/>
            </w:pPr>
          </w:p>
        </w:tc>
      </w:tr>
      <w:tr w14:paraId="1F12CB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6870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6A6B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E7C2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A5F39">
            <w:pPr>
              <w:spacing w:before="0" w:after="0" w:line="240" w:lineRule="auto"/>
              <w:jc w:val="center"/>
            </w:pPr>
            <w:r>
              <w:rPr>
                <w:rFonts w:ascii="宋体" w:hAnsi="宋体" w:eastAsia="宋体"/>
                <w:b w:val="0"/>
                <w:i w:val="0"/>
                <w:sz w:val="18"/>
              </w:rPr>
              <w:t>减轻学生家庭经济负担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3386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28163">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8AC17">
            <w:pPr>
              <w:spacing w:before="0" w:after="0" w:line="240" w:lineRule="auto"/>
              <w:jc w:val="center"/>
            </w:pPr>
            <w:r>
              <w:rPr>
                <w:rFonts w:ascii="宋体" w:hAnsi="宋体" w:eastAsia="宋体"/>
                <w:b w:val="0"/>
                <w:i w:val="0"/>
                <w:sz w:val="18"/>
              </w:rPr>
              <w:t>达标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A9F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F867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46E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F99B9">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5D7C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D3C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AF881">
            <w:pPr>
              <w:spacing w:before="0" w:after="0" w:line="240" w:lineRule="auto"/>
              <w:jc w:val="center"/>
            </w:pPr>
          </w:p>
        </w:tc>
      </w:tr>
      <w:tr w14:paraId="2ADC1D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3EB5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D7C7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943A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EF765">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477F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4A85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10D4E">
            <w:pPr>
              <w:spacing w:before="0" w:after="0" w:line="240" w:lineRule="auto"/>
              <w:jc w:val="center"/>
            </w:pPr>
            <w:r>
              <w:rPr>
                <w:rFonts w:ascii="宋体" w:hAnsi="宋体" w:eastAsia="宋体"/>
                <w:b w:val="0"/>
                <w:i w:val="0"/>
                <w:sz w:val="18"/>
              </w:rPr>
              <w:t>满意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AF1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464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1880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1598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AFFD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46F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EC501">
            <w:pPr>
              <w:spacing w:before="0" w:after="0" w:line="240" w:lineRule="auto"/>
              <w:jc w:val="center"/>
            </w:pPr>
          </w:p>
        </w:tc>
      </w:tr>
      <w:tr w14:paraId="48972D4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B22ABB">
            <w:pPr>
              <w:spacing w:before="0" w:after="0" w:line="240" w:lineRule="auto"/>
              <w:jc w:val="center"/>
            </w:pPr>
            <w:bookmarkStart w:id="0" w:name="_GoBack"/>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F40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9AC2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239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FF4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ADAE3">
            <w:pPr>
              <w:spacing w:before="0" w:after="0" w:line="240" w:lineRule="auto"/>
              <w:jc w:val="center"/>
            </w:pPr>
            <w:r>
              <w:rPr>
                <w:rFonts w:ascii="宋体" w:hAnsi="宋体" w:eastAsia="宋体"/>
                <w:b w:val="0"/>
                <w:i w:val="0"/>
                <w:sz w:val="18"/>
              </w:rPr>
              <w:t>98.75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4871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843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67C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5B6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582AA">
            <w:pPr>
              <w:spacing w:before="0" w:after="0" w:line="240" w:lineRule="auto"/>
              <w:jc w:val="center"/>
            </w:pPr>
          </w:p>
        </w:tc>
      </w:tr>
    </w:tbl>
    <w:p w14:paraId="7D921EE1">
      <w:r>
        <w:br w:type="page"/>
      </w:r>
    </w:p>
    <w:p w14:paraId="5F03A29B">
      <w:pPr>
        <w:sectPr>
          <w:type w:val="continuous"/>
          <w:pgSz w:w="11906" w:h="16838"/>
          <w:pgMar w:top="1440" w:right="1800" w:bottom="1440" w:left="1800" w:header="851" w:footer="992" w:gutter="0"/>
          <w:cols w:space="720" w:num="1"/>
          <w:docGrid w:type="lines" w:linePitch="312" w:charSpace="0"/>
        </w:sectPr>
      </w:pPr>
    </w:p>
    <w:p w14:paraId="7D23CC56">
      <w:pPr>
        <w:spacing w:line="640" w:lineRule="exact"/>
        <w:ind w:firstLine="640"/>
        <w:jc w:val="both"/>
        <w:outlineLvl w:val="2"/>
      </w:pPr>
      <w:r>
        <w:rPr>
          <w:rFonts w:ascii="黑体" w:hAnsi="黑体" w:eastAsia="黑体"/>
          <w:sz w:val="32"/>
        </w:rPr>
        <w:t>十二、其他需说明的事项</w:t>
      </w:r>
      <w:bookmarkEnd w:id="0"/>
    </w:p>
    <w:p w14:paraId="56E26F6A">
      <w:pPr>
        <w:spacing w:line="580" w:lineRule="exact"/>
        <w:ind w:firstLine="640"/>
        <w:jc w:val="both"/>
      </w:pPr>
      <w:r>
        <w:rPr>
          <w:rFonts w:ascii="仿宋_GB2312" w:hAnsi="仿宋_GB2312" w:eastAsia="仿宋_GB2312"/>
          <w:b w:val="0"/>
          <w:sz w:val="32"/>
        </w:rPr>
        <w:t>本单位无其他需说明的事项。</w:t>
      </w:r>
    </w:p>
    <w:p w14:paraId="0778632B">
      <w:r>
        <w:br w:type="page"/>
      </w:r>
    </w:p>
    <w:p w14:paraId="123325BD">
      <w:pPr>
        <w:spacing w:line="600" w:lineRule="exact"/>
        <w:jc w:val="center"/>
        <w:outlineLvl w:val="0"/>
      </w:pPr>
      <w:r>
        <w:rPr>
          <w:rFonts w:ascii="黑体" w:hAnsi="黑体" w:eastAsia="黑体"/>
          <w:sz w:val="32"/>
        </w:rPr>
        <w:t>第三部分 专业名词解释</w:t>
      </w:r>
    </w:p>
    <w:p w14:paraId="43C4604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C471D1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9E4B1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EC5FC2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0899E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9F88A1D">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F94706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FD93AD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4F980F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2611F1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7EF1C2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B13CBA0">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E33AC83">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72540CC">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4565AEE">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C03A35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836159D">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FCAC5C5">
      <w:r>
        <w:br w:type="page"/>
      </w:r>
    </w:p>
    <w:p w14:paraId="2911CDDF">
      <w:pPr>
        <w:spacing w:line="240" w:lineRule="auto"/>
        <w:jc w:val="center"/>
        <w:outlineLvl w:val="1"/>
      </w:pPr>
      <w:r>
        <w:rPr>
          <w:rFonts w:ascii="黑体" w:hAnsi="黑体" w:eastAsia="黑体"/>
          <w:sz w:val="32"/>
        </w:rPr>
        <w:t>第四部分 部门决算报表（见附表）</w:t>
      </w:r>
    </w:p>
    <w:p w14:paraId="73119C93">
      <w:pPr>
        <w:autoSpaceDE w:val="0"/>
        <w:autoSpaceDN w:val="0"/>
        <w:spacing w:line="600" w:lineRule="exact"/>
        <w:ind w:firstLine="640" w:firstLineChars="200"/>
      </w:pPr>
      <w:r>
        <w:rPr>
          <w:rFonts w:ascii="仿宋_GB2312" w:hAnsi="仿宋_GB2312" w:eastAsia="仿宋_GB2312"/>
          <w:b w:val="0"/>
          <w:sz w:val="32"/>
        </w:rPr>
        <w:t>一、《收入支出决算总表》</w:t>
      </w:r>
    </w:p>
    <w:p w14:paraId="45307BAE">
      <w:pPr>
        <w:autoSpaceDE w:val="0"/>
        <w:autoSpaceDN w:val="0"/>
        <w:spacing w:line="600" w:lineRule="exact"/>
        <w:ind w:firstLine="640" w:firstLineChars="200"/>
      </w:pPr>
      <w:r>
        <w:rPr>
          <w:rFonts w:ascii="仿宋_GB2312" w:hAnsi="仿宋_GB2312" w:eastAsia="仿宋_GB2312"/>
          <w:b w:val="0"/>
          <w:sz w:val="32"/>
        </w:rPr>
        <w:t>二、《收入决算表》</w:t>
      </w:r>
    </w:p>
    <w:p w14:paraId="7C08E81B">
      <w:pPr>
        <w:autoSpaceDE w:val="0"/>
        <w:autoSpaceDN w:val="0"/>
        <w:spacing w:line="600" w:lineRule="exact"/>
        <w:ind w:firstLine="640" w:firstLineChars="200"/>
      </w:pPr>
      <w:r>
        <w:rPr>
          <w:rFonts w:ascii="仿宋_GB2312" w:hAnsi="仿宋_GB2312" w:eastAsia="仿宋_GB2312"/>
          <w:b w:val="0"/>
          <w:sz w:val="32"/>
        </w:rPr>
        <w:t>三、《支出决算表》</w:t>
      </w:r>
    </w:p>
    <w:p w14:paraId="0263CDE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5822A2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5D66E7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E859D7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C84ABC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52163F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1A5BA1E">
      <w:pPr>
        <w:autoSpaceDE w:val="0"/>
        <w:autoSpaceDN w:val="0"/>
        <w:spacing w:line="600" w:lineRule="exact"/>
        <w:ind w:firstLine="640" w:firstLineChars="200"/>
      </w:pPr>
    </w:p>
    <w:p w14:paraId="45D983D8">
      <w:pPr>
        <w:autoSpaceDE w:val="0"/>
        <w:autoSpaceDN w:val="0"/>
        <w:spacing w:line="600" w:lineRule="exact"/>
        <w:ind w:firstLine="640" w:firstLineChars="200"/>
      </w:pPr>
    </w:p>
    <w:p w14:paraId="7F31D68E">
      <w:pPr>
        <w:autoSpaceDE w:val="0"/>
        <w:autoSpaceDN w:val="0"/>
        <w:spacing w:line="600" w:lineRule="exact"/>
        <w:ind w:firstLine="640" w:firstLineChars="200"/>
      </w:pPr>
    </w:p>
    <w:p w14:paraId="7F1486A9">
      <w:pPr>
        <w:autoSpaceDE w:val="0"/>
        <w:autoSpaceDN w:val="0"/>
        <w:spacing w:line="600" w:lineRule="exact"/>
        <w:ind w:firstLine="640" w:firstLineChars="200"/>
      </w:pPr>
    </w:p>
    <w:p w14:paraId="6A028BE7">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3AD7CB-C08B-482A-A3BE-988BC9ABD0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A767C03-ECEF-4919-8CC0-2E79E20007B4}"/>
  </w:font>
  <w:font w:name="仿宋_GB2312">
    <w:panose1 w:val="02010609030101010101"/>
    <w:charset w:val="86"/>
    <w:family w:val="modern"/>
    <w:pitch w:val="default"/>
    <w:sig w:usb0="00000001" w:usb1="080E0000" w:usb2="00000000" w:usb3="00000000" w:csb0="00040000" w:csb1="00000000"/>
    <w:embedRegular r:id="rId3" w:fontKey="{AE02D375-6850-470B-9830-BAE92D7F27A1}"/>
  </w:font>
  <w:font w:name="楷体_GB2312">
    <w:altName w:val="楷体"/>
    <w:panose1 w:val="00000000000000000000"/>
    <w:charset w:val="00"/>
    <w:family w:val="auto"/>
    <w:pitch w:val="default"/>
    <w:sig w:usb0="00000000" w:usb1="00000000" w:usb2="00000000" w:usb3="00000000" w:csb0="00000000" w:csb1="00000000"/>
    <w:embedRegular r:id="rId4" w:fontKey="{FEB79036-13A0-412D-A948-F27101BCF848}"/>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A97939"/>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9a794f32-ac68-4745-81dd-8d4a05685517</errorID>
      <errorWord>债</errorWord>
      <group>L1_Sensitive</group>
      <groupName>敏感问题</groupName>
      <ability>L2_UserSensitive</ability>
      <abilityName>自定义敏感词</abilityName>
      <candidateList/>
      <explain>来自自定义敏感词库。</explain>
      <paraID>13FCD631</paraID>
      <start>21</start>
      <end>22</end>
      <status>ignored</status>
      <modifiedWord/>
      <trackRevisions>false</trackRevisions>
    </reviewItem>
    <reviewItem>
      <errorID>8a2827dc-1c3a-4b53-a9f7-9b33e87e07eb</errorID>
      <errorWord>债</errorWord>
      <group>L1_Sensitive</group>
      <groupName>敏感问题</groupName>
      <ability>L2_UserSensitive</ability>
      <abilityName>自定义敏感词</abilityName>
      <candidateList/>
      <explain>来自自定义敏感词库。</explain>
      <paraID>13FCD631</paraID>
      <start>47</start>
      <end>48</end>
      <status>ignored</status>
      <modifiedWord/>
      <trackRevisions>false</trackRevisions>
    </reviewItem>
    <reviewItem>
      <errorID>f88476b4-5fa5-4d1e-a96d-d166b0e1bed5</errorID>
      <errorWord>2月31日</errorWord>
      <group>L1_Sensitive</group>
      <groupName>敏感问题</groupName>
      <ability>L2_UserSensitive</ability>
      <abilityName>自定义敏感词</abilityName>
      <candidateList/>
      <explain>来自自定义敏感词库。</explain>
      <paraID> 4EBCC52</paraID>
      <start>8</start>
      <end>13</end>
      <status>ignored</status>
      <modifiedWord/>
      <trackRevisions>false</trackRevisions>
    </reviewItem>
    <reviewItem>
      <errorID>dc30e5a6-3aee-45be-aec9-90396d4ed7fd</errorID>
      <errorWord>监控</errorWord>
      <group>L1_Sensitive</group>
      <groupName>敏感问题</groupName>
      <ability>L2_UserSensitive</ability>
      <abilityName>自定义敏感词</abilityName>
      <candidateList/>
      <explain>来自自定义敏感词库。</explain>
      <paraID>13FEF235</paraID>
      <start>279</start>
      <end>281</end>
      <status>ignored</status>
      <modifiedWord/>
      <trackRevisions>false</trackRevisions>
    </reviewItem>
    <reviewItem>
      <errorID>ba1304b2-733a-46df-b0c9-1a537b144b5b</errorID>
      <errorWord>一体化</errorWord>
      <group>L1_Sensitive</group>
      <groupName>敏感问题</groupName>
      <ability>L2_UserSensitive</ability>
      <abilityName>自定义敏感词</abilityName>
      <candidateList/>
      <explain>来自自定义敏感词库。</explain>
      <paraID>13FEF235</paraID>
      <start>383</start>
      <end>386</end>
      <status>ignored</status>
      <modifiedWord/>
      <trackRevisions>false</trackRevisions>
    </reviewItem>
    <reviewItem>
      <errorID>f41592c8-2d8c-4a53-925b-61a3c039ec03</errorID>
      <errorWord>监控</errorWord>
      <group>L1_Sensitive</group>
      <groupName>敏感问题</groupName>
      <ability>L2_UserSensitive</ability>
      <abilityName>自定义敏感词</abilityName>
      <candidateList/>
      <explain>来自自定义敏感词库。</explain>
      <paraID>13FEF235</paraID>
      <start>413</start>
      <end>415</end>
      <status>ignored</status>
      <modifiedWord/>
      <trackRevisions>false</trackRevisions>
    </reviewItem>
    <reviewItem>
      <errorID>188d15e8-eb4c-49df-aed6-e2e8b96f1bd4</errorID>
      <errorWord>监控</errorWord>
      <group>L1_Sensitive</group>
      <groupName>敏感问题</groupName>
      <ability>L2_UserSensitive</ability>
      <abilityName>自定义敏感词</abilityName>
      <candidateList/>
      <explain>来自自定义敏感词库。</explain>
      <paraID>13FEF235</paraID>
      <start>976</start>
      <end>978</end>
      <status>ignored</status>
      <modifiedWord/>
      <trackRevisions>false</trackRevisions>
    </reviewItem>
    <reviewItem>
      <errorID>a846ae26-a0a9-45b2-a9db-021e49d10958</errorID>
      <errorWord>一体化</errorWord>
      <group>L1_Sensitive</group>
      <groupName>敏感问题</groupName>
      <ability>L2_UserSensitive</ability>
      <abilityName>自定义敏感词</abilityName>
      <candidateList/>
      <explain>来自自定义敏感词库。</explain>
      <paraID>13FEF235</paraID>
      <start>1030</start>
      <end>1033</end>
      <status>ignored</status>
      <modifiedWord/>
      <trackRevisions>false</trackRevisions>
    </reviewItem>
    <reviewItem>
      <errorID>2dcd86a8-45fb-4e38-bb80-d20575e105d9</errorID>
      <errorWord>监控</errorWord>
      <group>L1_Sensitive</group>
      <groupName>敏感问题</groupName>
      <ability>L2_UserSensitive</ability>
      <abilityName>自定义敏感词</abilityName>
      <candidateList/>
      <explain>来自自定义敏感词库。</explain>
      <paraID>13FEF235</paraID>
      <start>1046</start>
      <end>1048</end>
      <status>ignored</status>
      <modifiedWord/>
      <trackRevisions>false</trackRevisions>
    </reviewItem>
    <reviewItem>
      <errorID>2a8ae03a-5e2f-4b13-b3fd-6e1d80457a85</errorID>
      <errorWord>监控</errorWord>
      <group>L1_Sensitive</group>
      <groupName>敏感问题</groupName>
      <ability>L2_UserSensitive</ability>
      <abilityName>自定义敏感词</abilityName>
      <candidateList/>
      <explain>来自自定义敏感词库。</explain>
      <paraID>13FEF235</paraID>
      <start>1308</start>
      <end>1310</end>
      <status>ignored</status>
      <modifiedWord/>
      <trackRevisions>false</trackRevisions>
    </reviewItem>
    <reviewItem>
      <errorID>b6156a56-7624-41ee-bbce-a4a5c87825ba</errorID>
      <errorWord>监控</errorWord>
      <group>L1_Sensitive</group>
      <groupName>敏感问题</groupName>
      <ability>L2_UserSensitive</ability>
      <abilityName>自定义敏感词</abilityName>
      <candidateList/>
      <explain>来自自定义敏感词库。</explain>
      <paraID>13FEF235</paraID>
      <start>1552</start>
      <end>1554</end>
      <status>ignored</status>
      <modifiedWord/>
      <trackRevisions>false</trackRevisions>
    </reviewItem>
    <reviewItem>
      <errorID>826fe08c-888f-4974-ad85-023dfa431e87</errorID>
      <errorWord>监控</errorWord>
      <group>L1_Sensitive</group>
      <groupName>敏感问题</groupName>
      <ability>L2_UserSensitive</ability>
      <abilityName>自定义敏感词</abilityName>
      <candidateList/>
      <explain>来自自定义敏感词库。</explain>
      <paraID>13FEF235</paraID>
      <start>1672</start>
      <end>1674</end>
      <status>ignored</status>
      <modifiedWord/>
      <trackRevisions>false</trackRevisions>
    </reviewItem>
    <reviewItem>
      <errorID>e69edd61-2a33-4970-8316-de3a24ddfad8</errorID>
      <errorWord>监控</errorWord>
      <group>L1_Sensitive</group>
      <groupName>敏感问题</groupName>
      <ability>L2_UserSensitive</ability>
      <abilityName>自定义敏感词</abilityName>
      <candidateList/>
      <explain>来自自定义敏感词库。</explain>
      <paraID>13FEF235</paraID>
      <start>1713</start>
      <end>1715</end>
      <status>ignored</status>
      <modifiedWord/>
      <trackRevisions>false</trackRevisions>
    </reviewItem>
    <reviewItem>
      <errorID>83770175-da87-49b4-8a47-f5070bcc48e3</errorID>
      <errorWord>监控</errorWord>
      <group>L1_Sensitive</group>
      <groupName>敏感问题</groupName>
      <ability>L2_UserSensitive</ability>
      <abilityName>自定义敏感词</abilityName>
      <candidateList/>
      <explain>来自自定义敏感词库。</explain>
      <paraID>13FEF235</paraID>
      <start>1725</start>
      <end>1727</end>
      <status>ignored</status>
      <modifiedWord/>
      <trackRevisions>false</trackRevisions>
    </reviewItem>
    <reviewItem>
      <errorID>1b75d797-f65d-424b-b719-0ac016e8575d</errorID>
      <errorWord>监控</errorWord>
      <group>L1_Sensitive</group>
      <groupName>敏感问题</groupName>
      <ability>L2_UserSensitive</ability>
      <abilityName>自定义敏感词</abilityName>
      <candidateList/>
      <explain>来自自定义敏感词库。</explain>
      <paraID>13FEF235</paraID>
      <start>1817</start>
      <end>1819</end>
      <status>ignored</status>
      <modifiedWord/>
      <trackRevisions>false</trackRevisions>
    </reviewItem>
    <reviewItem>
      <errorID>62430dca-83b1-4385-8acc-8450d354d506</errorID>
      <errorWord>监控</errorWord>
      <group>L1_Sensitive</group>
      <groupName>敏感问题</groupName>
      <ability>L2_UserSensitive</ability>
      <abilityName>自定义敏感词</abilityName>
      <candidateList/>
      <explain>来自自定义敏感词库。</explain>
      <paraID>13FEF235</paraID>
      <start>2124</start>
      <end>2126</end>
      <status>ignored</status>
      <modifiedWord/>
      <trackRevisions>false</trackRevisions>
    </reviewItem>
    <reviewItem>
      <errorID>25b599f3-ca33-4691-9b64-4a6cf34359d0</errorID>
      <errorWord>监控</errorWord>
      <group>L1_Sensitive</group>
      <groupName>敏感问题</groupName>
      <ability>L2_UserSensitive</ability>
      <abilityName>自定义敏感词</abilityName>
      <candidateList/>
      <explain>来自自定义敏感词库。</explain>
      <paraID>13FEF235</paraID>
      <start>2514</start>
      <end>2516</end>
      <status>ignored</status>
      <modifiedWord/>
      <trackRevisions>false</trackRevisions>
    </reviewItem>
    <reviewItem>
      <errorID>2157246e-1df3-4e34-bf56-cbbd64609fd7</errorID>
      <errorWord>一体化</errorWord>
      <group>L1_Sensitive</group>
      <groupName>敏感问题</groupName>
      <ability>L2_UserSensitive</ability>
      <abilityName>自定义敏感词</abilityName>
      <candidateList/>
      <explain>来自自定义敏感词库。</explain>
      <paraID>13FEF235</paraID>
      <start>2523</start>
      <end>2526</end>
      <status>ignored</status>
      <modifiedWord/>
      <trackRevisions>false</trackRevisions>
    </reviewItem>
    <reviewItem>
      <errorID>c1287501-becc-4d74-bdea-9c6233bbf083</errorID>
      <errorWord>警</errorWord>
      <group>L1_Sensitive</group>
      <groupName>敏感问题</groupName>
      <ability>L2_UserSensitive</ability>
      <abilityName>自定义敏感词</abilityName>
      <candidateList/>
      <explain>来自自定义敏感词库。</explain>
      <paraID>13FEF235</paraID>
      <start>2537</start>
      <end>2538</end>
      <status>ignored</status>
      <modifiedWord/>
      <trackRevisions>false</trackRevisions>
    </reviewItem>
    <reviewItem>
      <errorID>f073bfa1-bc85-4a9e-8123-fa46687373db</errorID>
      <errorWord>警</errorWord>
      <group>L1_Sensitive</group>
      <groupName>敏感问题</groupName>
      <ability>L2_UserSensitive</ability>
      <abilityName>自定义敏感词</abilityName>
      <candidateList/>
      <explain>来自自定义敏感词库。</explain>
      <paraID>13FEF235</paraID>
      <start>2572</start>
      <end>2573</end>
      <status>ignored</status>
      <modifiedWord/>
      <trackRevisions>false</trackRevisions>
    </reviewItem>
    <reviewItem>
      <errorID>16c09f28-48db-40eb-9e08-1cfcf5974151</errorID>
      <errorWord>监控</errorWord>
      <group>L1_Sensitive</group>
      <groupName>敏感问题</groupName>
      <ability>L2_UserSensitive</ability>
      <abilityName>自定义敏感词</abilityName>
      <candidateList/>
      <explain>来自自定义敏感词库。</explain>
      <paraID>13FEF235</paraID>
      <start>3147</start>
      <end>3149</end>
      <status>ignored</status>
      <modifiedWord/>
      <trackRevisions>false</trackRevisions>
    </reviewItem>
    <reviewItem>
      <errorID>ce8cefe1-a738-485c-81f1-7b5b90b1b83a</errorID>
      <errorWord>警</errorWord>
      <group>L1_Sensitive</group>
      <groupName>敏感问题</groupName>
      <ability>L2_UserSensitive</ability>
      <abilityName>自定义敏感词</abilityName>
      <candidateList/>
      <explain>来自自定义敏感词库。</explain>
      <paraID>13FEF235</paraID>
      <start>3171</start>
      <end>3172</end>
      <status>ignored</status>
      <modifiedWord/>
      <trackRevisions>false</trackRevisions>
    </reviewItem>
    <reviewItem>
      <errorID>2f7555b6-7f14-4c38-8a91-484fc8b09c29</errorID>
      <errorWord>债</errorWord>
      <group>L1_Sensitive</group>
      <groupName>敏感问题</groupName>
      <ability>L2_UserSensitive</ability>
      <abilityName>自定义敏感词</abilityName>
      <candidateList/>
      <explain>来自自定义敏感词库。</explain>
      <paraID>592A507D</paraID>
      <start>2</start>
      <end>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3896f43-0365-44c2-bc24-abb3bd2cabb8}">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11916</Words>
  <Characters>13128</Characters>
  <Lines>10</Lines>
  <Paragraphs>2</Paragraphs>
  <TotalTime>16</TotalTime>
  <ScaleCrop>false</ScaleCrop>
  <LinksUpToDate>false</LinksUpToDate>
  <CharactersWithSpaces>13155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2026-09-01T05:59:29Z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