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新疆维吾尔自治区教材评审中心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58608357">
      <w:r>
        <w:br w:type="page"/>
      </w:r>
    </w:p>
    <w:p w14:paraId="470A7B25">
      <w:pPr>
        <w:spacing w:line="640" w:lineRule="exact"/>
        <w:jc w:val="center"/>
        <w:outlineLvl w:val="1"/>
      </w:pPr>
      <w:r>
        <w:rPr>
          <w:rFonts w:ascii="黑体" w:hAnsi="黑体" w:eastAsia="黑体"/>
          <w:sz w:val="32"/>
        </w:rPr>
        <w:t>第一部分 单位概况</w:t>
      </w:r>
    </w:p>
    <w:p w14:paraId="5D0A36F6">
      <w:pPr>
        <w:spacing w:line="640" w:lineRule="exact"/>
        <w:ind w:firstLine="640"/>
        <w:jc w:val="both"/>
        <w:outlineLvl w:val="2"/>
      </w:pPr>
      <w:r>
        <w:rPr>
          <w:rFonts w:ascii="黑体" w:hAnsi="黑体" w:eastAsia="黑体"/>
          <w:sz w:val="32"/>
        </w:rPr>
        <w:t>一、主要职能</w:t>
      </w:r>
    </w:p>
    <w:p w14:paraId="1C0FD65F">
      <w:pPr>
        <w:spacing w:line="580" w:lineRule="exact"/>
        <w:ind w:firstLine="640"/>
        <w:jc w:val="both"/>
      </w:pPr>
      <w:r>
        <w:rPr>
          <w:rFonts w:ascii="仿宋_GB2312" w:hAnsi="仿宋_GB2312" w:eastAsia="仿宋_GB2312"/>
          <w:sz w:val="32"/>
        </w:rPr>
        <w:t>承担自治区地方自编教材、教辅材料的编译审核工作；承担自治区各级各类学校的德育、思想政治教材编译审核工作；协助做好教材总体规划和教材管理工作。</w:t>
      </w:r>
    </w:p>
    <w:p w14:paraId="4314D148">
      <w:pPr>
        <w:spacing w:line="640" w:lineRule="exact"/>
        <w:ind w:firstLine="640"/>
        <w:jc w:val="both"/>
        <w:outlineLvl w:val="2"/>
      </w:pPr>
      <w:r>
        <w:rPr>
          <w:rFonts w:ascii="黑体" w:hAnsi="黑体" w:eastAsia="黑体"/>
          <w:sz w:val="32"/>
        </w:rPr>
        <w:t>二、机构设置</w:t>
      </w:r>
    </w:p>
    <w:p w14:paraId="2832B71B">
      <w:pPr>
        <w:spacing w:line="580" w:lineRule="exact"/>
        <w:ind w:firstLine="640"/>
        <w:jc w:val="both"/>
      </w:pPr>
      <w:r>
        <w:rPr>
          <w:rFonts w:ascii="仿宋_GB2312" w:hAnsi="仿宋_GB2312" w:eastAsia="仿宋_GB2312"/>
          <w:sz w:val="32"/>
        </w:rPr>
        <w:t>新疆维吾尔自治区教材评审中心无下属预算单位。</w:t>
      </w:r>
    </w:p>
    <w:p w14:paraId="08C3D289">
      <w:r>
        <w:br w:type="page"/>
      </w:r>
    </w:p>
    <w:p w14:paraId="09BFF0B0">
      <w:pPr>
        <w:spacing w:line="240" w:lineRule="auto"/>
        <w:jc w:val="center"/>
        <w:outlineLvl w:val="1"/>
      </w:pPr>
      <w:r>
        <w:rPr>
          <w:rFonts w:ascii="黑体" w:hAnsi="黑体" w:eastAsia="黑体"/>
          <w:sz w:val="32"/>
        </w:rPr>
        <w:t>第二部分 部门决算情况说明</w:t>
      </w:r>
    </w:p>
    <w:p w14:paraId="54B10A8B">
      <w:pPr>
        <w:spacing w:line="640" w:lineRule="exact"/>
        <w:ind w:firstLine="640"/>
        <w:jc w:val="both"/>
        <w:outlineLvl w:val="2"/>
      </w:pPr>
      <w:r>
        <w:rPr>
          <w:rFonts w:ascii="黑体" w:hAnsi="黑体" w:eastAsia="黑体"/>
          <w:sz w:val="32"/>
        </w:rPr>
        <w:t>一、收入支出决算总体情况说明</w:t>
      </w:r>
    </w:p>
    <w:p w14:paraId="53944E49">
      <w:pPr>
        <w:spacing w:line="580" w:lineRule="exact"/>
        <w:ind w:firstLine="640"/>
        <w:jc w:val="both"/>
      </w:pPr>
      <w:r>
        <w:rPr>
          <w:rFonts w:ascii="仿宋_GB2312" w:hAnsi="仿宋_GB2312" w:eastAsia="仿宋_GB2312"/>
          <w:b/>
          <w:sz w:val="32"/>
        </w:rPr>
        <w:t>2025年度收入总计179.21万元，</w:t>
      </w:r>
      <w:r>
        <w:rPr>
          <w:rFonts w:ascii="仿宋_GB2312" w:hAnsi="仿宋_GB2312" w:eastAsia="仿宋_GB2312"/>
          <w:b w:val="0"/>
          <w:sz w:val="32"/>
        </w:rPr>
        <w:t>其中：本年收入合计179.21万元，使用非财政拨款结余（含专用结余）0.00万元，年初结转和结余0.00万元。</w:t>
      </w:r>
    </w:p>
    <w:p w14:paraId="7F8E61B6">
      <w:pPr>
        <w:spacing w:line="580" w:lineRule="exact"/>
        <w:ind w:firstLine="640"/>
        <w:jc w:val="both"/>
      </w:pPr>
      <w:r>
        <w:rPr>
          <w:rFonts w:ascii="仿宋_GB2312" w:hAnsi="仿宋_GB2312" w:eastAsia="仿宋_GB2312"/>
          <w:b/>
          <w:sz w:val="32"/>
        </w:rPr>
        <w:t>2025年度支出总计179.21万元，</w:t>
      </w:r>
      <w:r>
        <w:rPr>
          <w:rFonts w:ascii="仿宋_GB2312" w:hAnsi="仿宋_GB2312" w:eastAsia="仿宋_GB2312"/>
          <w:b w:val="0"/>
          <w:sz w:val="32"/>
        </w:rPr>
        <w:t>其中：本年支出合计179.19万元，结余分配0.00万元，年末结转和结余0.02万元。</w:t>
      </w:r>
    </w:p>
    <w:p w14:paraId="76220103">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增加179.21万元，增长100.00%，主要原因是：本单位为本年新增预算单位，无上年对比数据。</w:t>
      </w:r>
    </w:p>
    <w:p w14:paraId="1F31D3C2">
      <w:pPr>
        <w:spacing w:line="640" w:lineRule="exact"/>
        <w:ind w:firstLine="640"/>
        <w:jc w:val="both"/>
        <w:outlineLvl w:val="2"/>
      </w:pPr>
      <w:r>
        <w:rPr>
          <w:rFonts w:ascii="黑体" w:hAnsi="黑体" w:eastAsia="黑体"/>
          <w:sz w:val="32"/>
        </w:rPr>
        <w:t>二、收入决算情况说明</w:t>
      </w:r>
    </w:p>
    <w:p w14:paraId="74B86A75">
      <w:pPr>
        <w:spacing w:line="580" w:lineRule="exact"/>
        <w:ind w:firstLine="640"/>
        <w:jc w:val="both"/>
      </w:pPr>
      <w:r>
        <w:rPr>
          <w:rFonts w:ascii="仿宋_GB2312" w:hAnsi="仿宋_GB2312" w:eastAsia="仿宋_GB2312"/>
          <w:b/>
          <w:sz w:val="32"/>
        </w:rPr>
        <w:t>本年收入179.21万元，</w:t>
      </w:r>
      <w:r>
        <w:rPr>
          <w:rFonts w:ascii="仿宋_GB2312" w:hAnsi="仿宋_GB2312" w:eastAsia="仿宋_GB2312"/>
          <w:b w:val="0"/>
          <w:sz w:val="32"/>
        </w:rPr>
        <w:t>其中：财政拨款收入179.19万元，占99.99%；上级补助收入0.00万元，占0.00%；事业收入0.00万元，占0.00%；经营收入0.00万元，占0.00%；附属单位上缴收入0.00万元，占0.00%；其他收入0.02万元，占0.01%。</w:t>
      </w:r>
    </w:p>
    <w:p w14:paraId="08E04AA3">
      <w:pPr>
        <w:spacing w:line="640" w:lineRule="exact"/>
        <w:ind w:firstLine="640"/>
        <w:jc w:val="both"/>
        <w:outlineLvl w:val="2"/>
      </w:pPr>
      <w:r>
        <w:rPr>
          <w:rFonts w:ascii="黑体" w:hAnsi="黑体" w:eastAsia="黑体"/>
          <w:sz w:val="32"/>
        </w:rPr>
        <w:t>三、支出决算情况说明</w:t>
      </w:r>
    </w:p>
    <w:p w14:paraId="160AB5D1">
      <w:pPr>
        <w:spacing w:line="580" w:lineRule="exact"/>
        <w:ind w:firstLine="640"/>
        <w:jc w:val="both"/>
      </w:pPr>
      <w:r>
        <w:rPr>
          <w:rFonts w:ascii="仿宋_GB2312" w:hAnsi="仿宋_GB2312" w:eastAsia="仿宋_GB2312"/>
          <w:b/>
          <w:sz w:val="32"/>
        </w:rPr>
        <w:t>本年支出179.19万元，</w:t>
      </w:r>
      <w:r>
        <w:rPr>
          <w:rFonts w:ascii="仿宋_GB2312" w:hAnsi="仿宋_GB2312" w:eastAsia="仿宋_GB2312"/>
          <w:b w:val="0"/>
          <w:sz w:val="32"/>
        </w:rPr>
        <w:t>其中：基本支出179.19万元，占100.00%；项目支出0.00万元，占0.00%；上缴上级支出0.00万元，占0.00%；经营支出0.00万元，占0.00%；对附属单位补助支出0.00万元，占0.00%。</w:t>
      </w:r>
    </w:p>
    <w:p w14:paraId="0EE13D1F">
      <w:pPr>
        <w:spacing w:line="640" w:lineRule="exact"/>
        <w:ind w:firstLine="640"/>
        <w:jc w:val="both"/>
        <w:outlineLvl w:val="2"/>
      </w:pPr>
      <w:r>
        <w:rPr>
          <w:rFonts w:ascii="黑体" w:hAnsi="黑体" w:eastAsia="黑体"/>
          <w:sz w:val="32"/>
        </w:rPr>
        <w:t>四、财政拨款收入支出决算总体情况说明</w:t>
      </w:r>
    </w:p>
    <w:p w14:paraId="364B4D17">
      <w:pPr>
        <w:spacing w:line="580" w:lineRule="exact"/>
        <w:ind w:firstLine="640"/>
        <w:jc w:val="both"/>
      </w:pPr>
      <w:r>
        <w:rPr>
          <w:rFonts w:ascii="仿宋_GB2312" w:hAnsi="仿宋_GB2312" w:eastAsia="仿宋_GB2312"/>
          <w:b/>
          <w:sz w:val="32"/>
        </w:rPr>
        <w:t>2025年度财政拨款收入总计179.19万元，</w:t>
      </w:r>
      <w:r>
        <w:rPr>
          <w:rFonts w:ascii="仿宋_GB2312" w:hAnsi="仿宋_GB2312" w:eastAsia="仿宋_GB2312"/>
          <w:b w:val="0"/>
          <w:sz w:val="32"/>
        </w:rPr>
        <w:t>其中：年初财政拨款结转和结余0.00万元，本年财政拨款收入179.19万元。</w:t>
      </w:r>
      <w:r>
        <w:rPr>
          <w:rFonts w:ascii="仿宋_GB2312" w:hAnsi="仿宋_GB2312" w:eastAsia="仿宋_GB2312"/>
          <w:b/>
          <w:sz w:val="32"/>
        </w:rPr>
        <w:t>财政拨款支出总计179.19万元，</w:t>
      </w:r>
      <w:r>
        <w:rPr>
          <w:rFonts w:ascii="仿宋_GB2312" w:hAnsi="仿宋_GB2312" w:eastAsia="仿宋_GB2312"/>
          <w:b w:val="0"/>
          <w:sz w:val="32"/>
        </w:rPr>
        <w:t>其中：年末财政拨款结转和结余0.00万元，本年财政拨款支出179.19万元。</w:t>
      </w:r>
    </w:p>
    <w:p w14:paraId="0BE72DC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增加179.19万元，增长100.00%，主要原因是：本单位为本年新增预算单位，无上年对比数据。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年初预算数155.63万元，决算数179.19万元，预决算差异率15.14%，主要原因是：本年追加职业年金</w:t>
      </w:r>
      <w:r>
        <w:rPr>
          <w:rFonts w:hint="eastAsia" w:ascii="仿宋_GB2312" w:hAnsi="仿宋_GB2312" w:eastAsia="仿宋_GB2312"/>
          <w:b w:val="0"/>
          <w:sz w:val="32"/>
          <w:lang w:val="en-US" w:eastAsia="zh-CN"/>
        </w:rPr>
        <w:t>做实，导致预决算存在差异</w:t>
      </w:r>
      <w:r>
        <w:rPr>
          <w:rFonts w:ascii="仿宋_GB2312" w:hAnsi="仿宋_GB2312" w:eastAsia="仿宋_GB2312"/>
          <w:b w:val="0"/>
          <w:sz w:val="32"/>
        </w:rPr>
        <w:t>。</w:t>
      </w:r>
    </w:p>
    <w:p w14:paraId="1401E1A8">
      <w:pPr>
        <w:spacing w:line="640" w:lineRule="exact"/>
        <w:ind w:firstLine="640"/>
        <w:jc w:val="both"/>
        <w:outlineLvl w:val="2"/>
      </w:pPr>
      <w:r>
        <w:rPr>
          <w:rFonts w:ascii="黑体" w:hAnsi="黑体" w:eastAsia="黑体"/>
          <w:sz w:val="32"/>
        </w:rPr>
        <w:t>五、一般公共预算财政拨款支出决算情况说明</w:t>
      </w:r>
    </w:p>
    <w:p w14:paraId="234B469A">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履职运转、民生保障、重点项目等重点支出，体现在有关支出科目中。</w:t>
      </w:r>
    </w:p>
    <w:p w14:paraId="1EECA74D">
      <w:pPr>
        <w:spacing w:line="580" w:lineRule="exact"/>
        <w:ind w:firstLine="640"/>
        <w:jc w:val="both"/>
      </w:pPr>
      <w:r>
        <w:rPr>
          <w:rFonts w:ascii="仿宋_GB2312" w:hAnsi="仿宋_GB2312" w:eastAsia="仿宋_GB2312"/>
          <w:b w:val="0"/>
          <w:sz w:val="32"/>
        </w:rPr>
        <w:t>按照支出功能分类，教育支出（类）其他教育支出（款）其他教育支出（项）的支出占本年财政拨款支出总额的比重最高，2025年度决算数为179.19万元，占比100.00%，主要用于工资福利支出、办公费、差旅费等。</w:t>
      </w:r>
    </w:p>
    <w:p w14:paraId="189A029A">
      <w:pPr>
        <w:spacing w:line="640" w:lineRule="exact"/>
        <w:ind w:firstLine="640"/>
        <w:jc w:val="both"/>
        <w:outlineLvl w:val="3"/>
      </w:pPr>
      <w:r>
        <w:rPr>
          <w:rFonts w:ascii="楷体_GB2312" w:hAnsi="楷体_GB2312" w:eastAsia="楷体_GB2312"/>
          <w:b/>
          <w:sz w:val="32"/>
        </w:rPr>
        <w:t>（一）一般公共预算财政拨款支出决算总体情况</w:t>
      </w:r>
    </w:p>
    <w:p w14:paraId="028CE9B9">
      <w:pPr>
        <w:spacing w:line="580" w:lineRule="exact"/>
        <w:ind w:firstLine="640"/>
        <w:jc w:val="both"/>
      </w:pPr>
      <w:r>
        <w:rPr>
          <w:rFonts w:ascii="仿宋_GB2312" w:hAnsi="仿宋_GB2312" w:eastAsia="仿宋_GB2312"/>
          <w:b/>
          <w:sz w:val="32"/>
        </w:rPr>
        <w:t>2025年度一般公共预算财政拨款支出179.19万元，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增加179.19万元，增长100.00%，主要原因是：本单位为本年新增预算单位，无上年对比数据。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年初预算数155.63万元，决算数179.19万元，预决算差异率15.14%，主要原因是：本年追加职业年金</w:t>
      </w:r>
      <w:r>
        <w:rPr>
          <w:rFonts w:hint="eastAsia" w:ascii="仿宋_GB2312" w:hAnsi="仿宋_GB2312" w:eastAsia="仿宋_GB2312"/>
          <w:b w:val="0"/>
          <w:sz w:val="32"/>
          <w:lang w:val="en-US" w:eastAsia="zh-CN"/>
        </w:rPr>
        <w:t>做实，导致预决算存在差异</w:t>
      </w:r>
      <w:r>
        <w:rPr>
          <w:rFonts w:ascii="仿宋_GB2312" w:hAnsi="仿宋_GB2312" w:eastAsia="仿宋_GB2312"/>
          <w:b w:val="0"/>
          <w:sz w:val="32"/>
        </w:rPr>
        <w:t>。</w:t>
      </w:r>
    </w:p>
    <w:p w14:paraId="0CC75790">
      <w:pPr>
        <w:spacing w:line="640" w:lineRule="exact"/>
        <w:ind w:firstLine="640"/>
        <w:jc w:val="both"/>
        <w:outlineLvl w:val="3"/>
      </w:pPr>
      <w:r>
        <w:rPr>
          <w:rFonts w:ascii="楷体_GB2312" w:hAnsi="楷体_GB2312" w:eastAsia="楷体_GB2312"/>
          <w:b/>
          <w:sz w:val="32"/>
        </w:rPr>
        <w:t>（二）一般公共预算财政拨款支出决算结构情况</w:t>
      </w:r>
    </w:p>
    <w:p w14:paraId="7EFB43BB">
      <w:pPr>
        <w:spacing w:line="580" w:lineRule="exact"/>
        <w:ind w:firstLine="640"/>
        <w:jc w:val="both"/>
      </w:pPr>
      <w:r>
        <w:rPr>
          <w:rFonts w:ascii="仿宋_GB2312" w:hAnsi="仿宋_GB2312" w:eastAsia="仿宋_GB2312"/>
          <w:b w:val="0"/>
          <w:sz w:val="32"/>
        </w:rPr>
        <w:t>1.教育支出（类）179.19万元，占100.00%。</w:t>
      </w:r>
    </w:p>
    <w:p w14:paraId="76A5EC8B">
      <w:pPr>
        <w:spacing w:line="640" w:lineRule="exact"/>
        <w:ind w:firstLine="640"/>
        <w:jc w:val="both"/>
        <w:outlineLvl w:val="3"/>
      </w:pPr>
      <w:r>
        <w:rPr>
          <w:rFonts w:ascii="楷体_GB2312" w:hAnsi="楷体_GB2312" w:eastAsia="楷体_GB2312"/>
          <w:b/>
          <w:sz w:val="32"/>
        </w:rPr>
        <w:t>（三）一般公共预算财政拨款支出决算具体情况</w:t>
      </w:r>
    </w:p>
    <w:p w14:paraId="15ADDA3C">
      <w:pPr>
        <w:spacing w:line="580" w:lineRule="exact"/>
        <w:ind w:firstLine="640"/>
        <w:jc w:val="both"/>
      </w:pPr>
      <w:r>
        <w:rPr>
          <w:rFonts w:ascii="仿宋_GB2312" w:hAnsi="仿宋_GB2312" w:eastAsia="仿宋_GB2312"/>
          <w:b w:val="0"/>
          <w:sz w:val="32"/>
        </w:rPr>
        <w:t>1.教育支出（类）其他教育支出（款）其他教育支出（项）：支出决算数为179.19万元，比上年决算增加179.19万元，增长100.00%，主要原因是：本单位为本年新增预算单位，无上年对比数据。</w:t>
      </w:r>
    </w:p>
    <w:p w14:paraId="330CD244">
      <w:pPr>
        <w:spacing w:line="640" w:lineRule="exact"/>
        <w:ind w:firstLine="640"/>
        <w:jc w:val="both"/>
        <w:outlineLvl w:val="2"/>
      </w:pPr>
      <w:r>
        <w:rPr>
          <w:rFonts w:ascii="黑体" w:hAnsi="黑体" w:eastAsia="黑体"/>
          <w:sz w:val="32"/>
        </w:rPr>
        <w:t>六、一般公共预算财政拨款基本支出决算情况说明</w:t>
      </w:r>
    </w:p>
    <w:p w14:paraId="52EA59C6">
      <w:pPr>
        <w:spacing w:line="580" w:lineRule="exact"/>
        <w:ind w:firstLine="640"/>
        <w:jc w:val="both"/>
      </w:pPr>
      <w:r>
        <w:rPr>
          <w:rFonts w:ascii="仿宋_GB2312" w:hAnsi="仿宋_GB2312" w:eastAsia="仿宋_GB2312"/>
          <w:b w:val="0"/>
          <w:sz w:val="32"/>
        </w:rPr>
        <w:t>2025年度一般公共预算财政拨款基本支出179.19万元，其中：</w:t>
      </w:r>
      <w:r>
        <w:rPr>
          <w:rFonts w:ascii="仿宋_GB2312" w:hAnsi="仿宋_GB2312" w:eastAsia="仿宋_GB2312"/>
          <w:b/>
          <w:sz w:val="32"/>
        </w:rPr>
        <w:t>人员经费171.51万元，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14:paraId="2019F532">
      <w:pPr>
        <w:spacing w:line="580" w:lineRule="exact"/>
        <w:ind w:firstLine="640"/>
        <w:jc w:val="both"/>
      </w:pPr>
      <w:r>
        <w:rPr>
          <w:rFonts w:ascii="仿宋_GB2312" w:hAnsi="仿宋_GB2312" w:eastAsia="仿宋_GB2312"/>
          <w:b/>
          <w:sz w:val="32"/>
        </w:rPr>
        <w:t>公用经费7.67万元，</w:t>
      </w:r>
      <w:r>
        <w:rPr>
          <w:rFonts w:ascii="仿宋_GB2312" w:hAnsi="仿宋_GB2312" w:eastAsia="仿宋_GB2312"/>
          <w:b w:val="0"/>
          <w:sz w:val="32"/>
        </w:rPr>
        <w:t>包括：办公费、邮电费、差旅费、工会经费、福利费、其他商品和服务支出。</w:t>
      </w:r>
    </w:p>
    <w:p w14:paraId="64AE3B32">
      <w:pPr>
        <w:spacing w:line="640" w:lineRule="exact"/>
        <w:ind w:firstLine="640"/>
        <w:jc w:val="both"/>
        <w:outlineLvl w:val="2"/>
      </w:pPr>
      <w:r>
        <w:rPr>
          <w:rFonts w:ascii="黑体" w:hAnsi="黑体" w:eastAsia="黑体"/>
          <w:sz w:val="32"/>
        </w:rPr>
        <w:t>七、政府性基金预算财政拨款收入支出决算情况说明</w:t>
      </w:r>
    </w:p>
    <w:p w14:paraId="64BCD86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D523A8A">
      <w:pPr>
        <w:spacing w:line="640" w:lineRule="exact"/>
        <w:ind w:firstLine="640"/>
        <w:jc w:val="both"/>
        <w:outlineLvl w:val="2"/>
      </w:pPr>
      <w:r>
        <w:rPr>
          <w:rFonts w:ascii="黑体" w:hAnsi="黑体" w:eastAsia="黑体"/>
          <w:sz w:val="32"/>
        </w:rPr>
        <w:t>八、国有资本经营预算财政拨款收入支出决算情况说明</w:t>
      </w:r>
    </w:p>
    <w:p w14:paraId="132FA37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1D9EE8F">
      <w:pPr>
        <w:spacing w:line="640" w:lineRule="exact"/>
        <w:ind w:firstLine="640"/>
        <w:jc w:val="both"/>
        <w:outlineLvl w:val="2"/>
      </w:pPr>
      <w:r>
        <w:rPr>
          <w:rFonts w:ascii="黑体" w:hAnsi="黑体" w:eastAsia="黑体"/>
          <w:sz w:val="32"/>
        </w:rPr>
        <w:t>九、财政拨款“三公”经费支出决算情况说明</w:t>
      </w:r>
    </w:p>
    <w:p w14:paraId="7AE05AD6">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15BA39B2">
      <w:pPr>
        <w:spacing w:line="580" w:lineRule="exact"/>
        <w:ind w:firstLine="640"/>
        <w:jc w:val="both"/>
      </w:pPr>
      <w:r>
        <w:rPr>
          <w:rFonts w:ascii="仿宋_GB2312" w:hAnsi="仿宋_GB2312" w:eastAsia="仿宋_GB2312"/>
          <w:b/>
          <w:sz w:val="32"/>
        </w:rPr>
        <w:t>具体情况如下：</w:t>
      </w:r>
    </w:p>
    <w:p w14:paraId="52722E3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BCE831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11ABC7C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AAFA8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F08D1AE">
      <w:pPr>
        <w:spacing w:line="640" w:lineRule="exact"/>
        <w:ind w:firstLine="640"/>
        <w:jc w:val="both"/>
        <w:outlineLvl w:val="2"/>
      </w:pPr>
      <w:r>
        <w:rPr>
          <w:rFonts w:ascii="黑体" w:hAnsi="黑体" w:eastAsia="黑体"/>
          <w:sz w:val="32"/>
        </w:rPr>
        <w:t>十、其他重要事项的情况说明</w:t>
      </w:r>
    </w:p>
    <w:p w14:paraId="2F3814F8">
      <w:pPr>
        <w:spacing w:line="640" w:lineRule="exact"/>
        <w:ind w:firstLine="640"/>
        <w:jc w:val="both"/>
        <w:outlineLvl w:val="3"/>
      </w:pPr>
      <w:r>
        <w:rPr>
          <w:rFonts w:ascii="楷体_GB2312" w:hAnsi="楷体_GB2312" w:eastAsia="楷体_GB2312"/>
          <w:b/>
          <w:sz w:val="32"/>
        </w:rPr>
        <w:t>（一）机关运行经费及公用经费支出情况</w:t>
      </w:r>
    </w:p>
    <w:p w14:paraId="6983EBDD">
      <w:pPr>
        <w:spacing w:line="580" w:lineRule="exact"/>
        <w:ind w:firstLine="640"/>
        <w:jc w:val="both"/>
      </w:pPr>
      <w:r>
        <w:rPr>
          <w:rFonts w:ascii="仿宋_GB2312" w:hAnsi="仿宋_GB2312" w:eastAsia="仿宋_GB2312"/>
          <w:b w:val="0"/>
          <w:sz w:val="32"/>
        </w:rPr>
        <w:t>2025年度新疆维吾尔自治区教材评审中心（事业单位）公用经费支出7.67万元，比上年增加7.67万元，增长100.00%，主要原因是：本单位为本年新增预算单位，无上年对比数据。</w:t>
      </w:r>
    </w:p>
    <w:p w14:paraId="267516BA">
      <w:pPr>
        <w:spacing w:line="640" w:lineRule="exact"/>
        <w:ind w:firstLine="640"/>
        <w:jc w:val="both"/>
        <w:outlineLvl w:val="3"/>
      </w:pPr>
      <w:r>
        <w:rPr>
          <w:rFonts w:ascii="楷体_GB2312" w:hAnsi="楷体_GB2312" w:eastAsia="楷体_GB2312"/>
          <w:b/>
          <w:sz w:val="32"/>
        </w:rPr>
        <w:t>（二）政府采购情况</w:t>
      </w:r>
    </w:p>
    <w:p w14:paraId="28813552">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22900E6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BA349CE">
      <w:pPr>
        <w:spacing w:line="640" w:lineRule="exact"/>
        <w:ind w:firstLine="640"/>
        <w:jc w:val="both"/>
        <w:outlineLvl w:val="3"/>
      </w:pPr>
      <w:r>
        <w:rPr>
          <w:rFonts w:ascii="楷体_GB2312" w:hAnsi="楷体_GB2312" w:eastAsia="楷体_GB2312"/>
          <w:b/>
          <w:sz w:val="32"/>
        </w:rPr>
        <w:t>（三）国有资产占用情况说明</w:t>
      </w:r>
    </w:p>
    <w:p w14:paraId="0BA9FF4D">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w:t>
      </w:r>
      <w:bookmarkStart w:id="0" w:name="_GoBack"/>
      <w:bookmarkEnd w:id="0"/>
      <w:r>
        <w:rPr>
          <w:rFonts w:ascii="仿宋_GB2312" w:hAnsi="仿宋_GB2312" w:eastAsia="仿宋_GB2312"/>
          <w:b w:val="0"/>
          <w:sz w:val="32"/>
        </w:rPr>
        <w:t>车0辆、机要通信用车0辆、应急保障用车0辆、执法执勤用车0辆、特种专业技术用车0辆、离退休干部服务用车0辆、其他用车0辆，其他用车主要是：本单位无其他用车。单价100万元（含）以上设备（不含车辆）0台（套）。</w:t>
      </w:r>
    </w:p>
    <w:p w14:paraId="20A17520">
      <w:pPr>
        <w:spacing w:line="640" w:lineRule="exact"/>
        <w:ind w:firstLine="640"/>
        <w:jc w:val="both"/>
        <w:outlineLvl w:val="2"/>
      </w:pPr>
      <w:r>
        <w:rPr>
          <w:rFonts w:ascii="黑体" w:hAnsi="黑体" w:eastAsia="黑体"/>
          <w:sz w:val="32"/>
        </w:rPr>
        <w:t>十一、预算绩效的情况说明</w:t>
      </w:r>
    </w:p>
    <w:p w14:paraId="605268F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14:paraId="0A2C2792">
      <w:r>
        <w:br w:type="page"/>
      </w:r>
    </w:p>
    <w:p w14:paraId="03FF2B1A">
      <w:pPr>
        <w:spacing w:line="640" w:lineRule="exact"/>
        <w:ind w:firstLine="640"/>
        <w:jc w:val="both"/>
        <w:outlineLvl w:val="2"/>
      </w:pPr>
      <w:r>
        <w:rPr>
          <w:rFonts w:ascii="黑体" w:hAnsi="黑体" w:eastAsia="黑体"/>
          <w:sz w:val="32"/>
        </w:rPr>
        <w:t>十二、其他需说明的事项</w:t>
      </w:r>
    </w:p>
    <w:p w14:paraId="0519252F">
      <w:pPr>
        <w:spacing w:line="580" w:lineRule="exact"/>
        <w:ind w:firstLine="640"/>
        <w:jc w:val="both"/>
      </w:pPr>
      <w:r>
        <w:rPr>
          <w:rFonts w:ascii="仿宋_GB2312" w:hAnsi="仿宋_GB2312" w:eastAsia="仿宋_GB2312"/>
          <w:b w:val="0"/>
          <w:sz w:val="32"/>
        </w:rPr>
        <w:t>本单位2025年度无政府采购支出，授予中小企业合同金额0.00万元。</w:t>
      </w:r>
    </w:p>
    <w:p w14:paraId="0EA44DD4">
      <w:r>
        <w:br w:type="page"/>
      </w:r>
    </w:p>
    <w:p w14:paraId="3FF036F7">
      <w:pPr>
        <w:spacing w:line="600" w:lineRule="exact"/>
        <w:jc w:val="center"/>
        <w:outlineLvl w:val="0"/>
      </w:pPr>
      <w:r>
        <w:rPr>
          <w:rFonts w:ascii="黑体" w:hAnsi="黑体" w:eastAsia="黑体"/>
          <w:sz w:val="32"/>
        </w:rPr>
        <w:t>第三部分 专业名词解释</w:t>
      </w:r>
    </w:p>
    <w:p w14:paraId="4053C284">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C1BE72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2387F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84515C4">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88216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AD15C0D">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784120F">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514E854">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CFE1B2D">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37338A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68C5559">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1D1B3E4">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CDED2F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F7E057D">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638E8A9">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89FE969">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06112F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4B9083F">
      <w:r>
        <w:br w:type="page"/>
      </w:r>
    </w:p>
    <w:p w14:paraId="7A9152CE">
      <w:pPr>
        <w:spacing w:line="240" w:lineRule="auto"/>
        <w:jc w:val="center"/>
        <w:outlineLvl w:val="1"/>
      </w:pPr>
      <w:r>
        <w:rPr>
          <w:rFonts w:ascii="黑体" w:hAnsi="黑体" w:eastAsia="黑体"/>
          <w:sz w:val="32"/>
        </w:rPr>
        <w:t>第四部分 部门决算报表（见附表）</w:t>
      </w:r>
    </w:p>
    <w:p w14:paraId="23573CD5">
      <w:pPr>
        <w:autoSpaceDE w:val="0"/>
        <w:autoSpaceDN w:val="0"/>
        <w:spacing w:line="600" w:lineRule="exact"/>
        <w:ind w:firstLine="640" w:firstLineChars="200"/>
      </w:pPr>
      <w:r>
        <w:rPr>
          <w:rFonts w:ascii="仿宋_GB2312" w:hAnsi="仿宋_GB2312" w:eastAsia="仿宋_GB2312"/>
          <w:b w:val="0"/>
          <w:sz w:val="32"/>
        </w:rPr>
        <w:t>一、《收入支出决算总表》</w:t>
      </w:r>
    </w:p>
    <w:p w14:paraId="3B1B3DEF">
      <w:pPr>
        <w:autoSpaceDE w:val="0"/>
        <w:autoSpaceDN w:val="0"/>
        <w:spacing w:line="600" w:lineRule="exact"/>
        <w:ind w:firstLine="640" w:firstLineChars="200"/>
      </w:pPr>
      <w:r>
        <w:rPr>
          <w:rFonts w:ascii="仿宋_GB2312" w:hAnsi="仿宋_GB2312" w:eastAsia="仿宋_GB2312"/>
          <w:b w:val="0"/>
          <w:sz w:val="32"/>
        </w:rPr>
        <w:t>二、《收入决算表》</w:t>
      </w:r>
    </w:p>
    <w:p w14:paraId="6699BD97">
      <w:pPr>
        <w:autoSpaceDE w:val="0"/>
        <w:autoSpaceDN w:val="0"/>
        <w:spacing w:line="600" w:lineRule="exact"/>
        <w:ind w:firstLine="640" w:firstLineChars="200"/>
      </w:pPr>
      <w:r>
        <w:rPr>
          <w:rFonts w:ascii="仿宋_GB2312" w:hAnsi="仿宋_GB2312" w:eastAsia="仿宋_GB2312"/>
          <w:b w:val="0"/>
          <w:sz w:val="32"/>
        </w:rPr>
        <w:t>三、《支出决算表》</w:t>
      </w:r>
    </w:p>
    <w:p w14:paraId="614B8E4C">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0EC6E67">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DA998E5">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9959E9D">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5D18F51">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31F6FFB">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495D498">
      <w:pPr>
        <w:autoSpaceDE w:val="0"/>
        <w:autoSpaceDN w:val="0"/>
        <w:spacing w:line="600" w:lineRule="exact"/>
        <w:ind w:firstLine="640" w:firstLineChars="200"/>
      </w:pPr>
    </w:p>
    <w:p w14:paraId="7382A169">
      <w:pPr>
        <w:autoSpaceDE w:val="0"/>
        <w:autoSpaceDN w:val="0"/>
        <w:spacing w:line="600" w:lineRule="exact"/>
        <w:ind w:firstLine="640" w:firstLineChars="200"/>
      </w:pPr>
    </w:p>
    <w:p w14:paraId="5220BED7">
      <w:pPr>
        <w:autoSpaceDE w:val="0"/>
        <w:autoSpaceDN w:val="0"/>
        <w:spacing w:line="600" w:lineRule="exact"/>
        <w:ind w:firstLine="640" w:firstLineChars="200"/>
      </w:pPr>
    </w:p>
    <w:p w14:paraId="6DE9F6FD">
      <w:pPr>
        <w:autoSpaceDE w:val="0"/>
        <w:autoSpaceDN w:val="0"/>
        <w:spacing w:line="600" w:lineRule="exact"/>
        <w:ind w:firstLine="640" w:firstLineChars="200"/>
      </w:pPr>
    </w:p>
    <w:p w14:paraId="5B654AD0">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476907-84F5-41C1-98F2-47EB76FB19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0D4D187-EFCC-42E2-9B50-9B0344847416}"/>
  </w:font>
  <w:font w:name="仿宋_GB2312">
    <w:panose1 w:val="02010609030101010101"/>
    <w:charset w:val="86"/>
    <w:family w:val="modern"/>
    <w:pitch w:val="default"/>
    <w:sig w:usb0="00000001" w:usb1="080E0000" w:usb2="00000000" w:usb3="00000000" w:csb0="00040000" w:csb1="00000000"/>
    <w:embedRegular r:id="rId3" w:fontKey="{D53E56B0-C0C0-4263-81DF-4061587E6D21}"/>
  </w:font>
  <w:font w:name="楷体_GB2312">
    <w:altName w:val="楷体"/>
    <w:panose1 w:val="00000000000000000000"/>
    <w:charset w:val="00"/>
    <w:family w:val="auto"/>
    <w:pitch w:val="default"/>
    <w:sig w:usb0="00000000" w:usb1="00000000" w:usb2="00000000" w:usb3="00000000" w:csb0="00000000" w:csb1="00000000"/>
    <w:embedRegular r:id="rId4" w:fontKey="{E981F0B7-3F14-4F2A-A4DC-F93C72E9FED2}"/>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96356AB"/>
    <w:rsid w:val="1C317E4F"/>
    <w:rsid w:val="1C472464"/>
    <w:rsid w:val="1DAF458D"/>
    <w:rsid w:val="1E086ACE"/>
    <w:rsid w:val="1EAA4A5F"/>
    <w:rsid w:val="1F040613"/>
    <w:rsid w:val="1F587A0B"/>
    <w:rsid w:val="1FE96E5D"/>
    <w:rsid w:val="2064678E"/>
    <w:rsid w:val="20DD6197"/>
    <w:rsid w:val="21F317F2"/>
    <w:rsid w:val="2241392C"/>
    <w:rsid w:val="23BC04D2"/>
    <w:rsid w:val="25275618"/>
    <w:rsid w:val="26C8017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de8af047-84ba-4a4f-9a0f-b1d1bfdaec54</errorID>
      <errorWord>2月31日</errorWord>
      <group>L1_Sensitive</group>
      <groupName>敏感问题</groupName>
      <ability>L2_UserSensitive</ability>
      <abilityName>自定义敏感词</abilityName>
      <candidateList/>
      <explain>来自自定义敏感词库。</explain>
      <paraID> BA9FF4D</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cf8848c1-dd63-4ffd-a5ce-cba9bdc4b5c3}">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4480</Words>
  <Characters>4984</Characters>
  <Lines>10</Lines>
  <Paragraphs>2</Paragraphs>
  <TotalTime>4</TotalTime>
  <ScaleCrop>false</ScaleCrop>
  <LinksUpToDate>false</LinksUpToDate>
  <CharactersWithSpaces>4994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2026-09-01T07:45:07Z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