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新疆维吾尔自治区民族语言文字规范标准与信息化研究中心2025年度部门决算公开说明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4C31926A">
      <w:r>
        <w:br w:type="page"/>
      </w:r>
    </w:p>
    <w:p w14:paraId="6FA74251">
      <w:pPr>
        <w:spacing w:line="640" w:lineRule="exact"/>
        <w:jc w:val="center"/>
        <w:outlineLvl w:val="1"/>
      </w:pPr>
      <w:r>
        <w:rPr>
          <w:rFonts w:ascii="黑体" w:hAnsi="黑体" w:eastAsia="黑体"/>
          <w:sz w:val="32"/>
        </w:rPr>
        <w:t>第一部分 单位概况</w:t>
      </w:r>
    </w:p>
    <w:p w14:paraId="1FC46E1F">
      <w:pPr>
        <w:spacing w:line="640" w:lineRule="exact"/>
        <w:ind w:firstLine="640"/>
        <w:jc w:val="both"/>
        <w:outlineLvl w:val="2"/>
      </w:pPr>
      <w:r>
        <w:rPr>
          <w:rFonts w:ascii="黑体" w:hAnsi="黑体" w:eastAsia="黑体"/>
          <w:sz w:val="32"/>
        </w:rPr>
        <w:t>一、主要职能</w:t>
      </w:r>
    </w:p>
    <w:p w14:paraId="6FDF0788">
      <w:pPr>
        <w:spacing w:line="580" w:lineRule="exact"/>
        <w:ind w:firstLine="640"/>
        <w:jc w:val="both"/>
      </w:pPr>
      <w:r>
        <w:rPr>
          <w:rFonts w:ascii="仿宋_GB2312" w:hAnsi="仿宋_GB2312" w:eastAsia="仿宋_GB2312"/>
          <w:sz w:val="32"/>
        </w:rPr>
        <w:t>承担自治区民族语言文字基础理论和规范化、标准化、信息化研究等工作。</w:t>
      </w:r>
    </w:p>
    <w:p w14:paraId="19076651">
      <w:pPr>
        <w:spacing w:line="640" w:lineRule="exact"/>
        <w:ind w:firstLine="640"/>
        <w:jc w:val="both"/>
        <w:outlineLvl w:val="2"/>
      </w:pPr>
      <w:r>
        <w:rPr>
          <w:rFonts w:ascii="黑体" w:hAnsi="黑体" w:eastAsia="黑体"/>
          <w:sz w:val="32"/>
        </w:rPr>
        <w:t>二、机构设置</w:t>
      </w:r>
    </w:p>
    <w:p w14:paraId="6DB1273B">
      <w:pPr>
        <w:spacing w:line="580" w:lineRule="exact"/>
        <w:ind w:firstLine="640"/>
        <w:jc w:val="both"/>
      </w:pPr>
      <w:r>
        <w:rPr>
          <w:rFonts w:ascii="仿宋_GB2312" w:hAnsi="仿宋_GB2312" w:eastAsia="仿宋_GB2312"/>
          <w:sz w:val="32"/>
        </w:rPr>
        <w:t>新疆维吾尔自治区民族语言文字规范标准与信息化研究中心无下属预算单位。</w:t>
      </w:r>
    </w:p>
    <w:p w14:paraId="4C1D97AA">
      <w:r>
        <w:br w:type="page"/>
      </w:r>
    </w:p>
    <w:p w14:paraId="754FE443">
      <w:pPr>
        <w:spacing w:line="240" w:lineRule="auto"/>
        <w:jc w:val="center"/>
        <w:outlineLvl w:val="1"/>
      </w:pPr>
      <w:r>
        <w:rPr>
          <w:rFonts w:ascii="黑体" w:hAnsi="黑体" w:eastAsia="黑体"/>
          <w:sz w:val="32"/>
        </w:rPr>
        <w:t>第二部分 部门决算情况说明</w:t>
      </w:r>
    </w:p>
    <w:p w14:paraId="772DB471">
      <w:pPr>
        <w:spacing w:line="640" w:lineRule="exact"/>
        <w:ind w:firstLine="640"/>
        <w:jc w:val="both"/>
        <w:outlineLvl w:val="2"/>
      </w:pPr>
      <w:r>
        <w:rPr>
          <w:rFonts w:ascii="黑体" w:hAnsi="黑体" w:eastAsia="黑体"/>
          <w:sz w:val="32"/>
        </w:rPr>
        <w:t>一、收入支出决算总体情况说明</w:t>
      </w:r>
    </w:p>
    <w:p w14:paraId="15CF9BC1">
      <w:pPr>
        <w:spacing w:line="580" w:lineRule="exact"/>
        <w:ind w:firstLine="640"/>
        <w:jc w:val="both"/>
      </w:pPr>
      <w:r>
        <w:rPr>
          <w:rFonts w:ascii="仿宋_GB2312" w:hAnsi="仿宋_GB2312" w:eastAsia="仿宋_GB2312"/>
          <w:b/>
          <w:sz w:val="32"/>
        </w:rPr>
        <w:t>2025年度收入总计185.70万元，</w:t>
      </w:r>
      <w:r>
        <w:rPr>
          <w:rFonts w:ascii="仿宋_GB2312" w:hAnsi="仿宋_GB2312" w:eastAsia="仿宋_GB2312"/>
          <w:b w:val="0"/>
          <w:sz w:val="32"/>
        </w:rPr>
        <w:t>其中：本年收入合计185.70万元，使用非财政拨款结余（含专用结余）0.00万元，年初结转和结余0.00万元。</w:t>
      </w:r>
    </w:p>
    <w:p w14:paraId="682C8313">
      <w:pPr>
        <w:spacing w:line="580" w:lineRule="exact"/>
        <w:ind w:firstLine="640"/>
        <w:jc w:val="both"/>
      </w:pPr>
      <w:r>
        <w:rPr>
          <w:rFonts w:ascii="仿宋_GB2312" w:hAnsi="仿宋_GB2312" w:eastAsia="仿宋_GB2312"/>
          <w:b/>
          <w:sz w:val="32"/>
        </w:rPr>
        <w:t>2025年度支出总计185.70万元，</w:t>
      </w:r>
      <w:r>
        <w:rPr>
          <w:rFonts w:ascii="仿宋_GB2312" w:hAnsi="仿宋_GB2312" w:eastAsia="仿宋_GB2312"/>
          <w:b w:val="0"/>
          <w:sz w:val="32"/>
        </w:rPr>
        <w:t>其中：本年支出合计185.68万元，结余分配0.00万元，年末结转和结余0.02万元。</w:t>
      </w:r>
    </w:p>
    <w:p w14:paraId="5E835B58">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增加185.70万元，增长100.00%，主要原因是：本单位为本年新增预算单位，无上年对比数据。</w:t>
      </w:r>
    </w:p>
    <w:p w14:paraId="556749F8">
      <w:pPr>
        <w:spacing w:line="640" w:lineRule="exact"/>
        <w:ind w:firstLine="640"/>
        <w:jc w:val="both"/>
        <w:outlineLvl w:val="2"/>
      </w:pPr>
      <w:r>
        <w:rPr>
          <w:rFonts w:ascii="黑体" w:hAnsi="黑体" w:eastAsia="黑体"/>
          <w:sz w:val="32"/>
        </w:rPr>
        <w:t>二、收入决算情况说明</w:t>
      </w:r>
    </w:p>
    <w:p w14:paraId="42701119">
      <w:pPr>
        <w:spacing w:line="580" w:lineRule="exact"/>
        <w:ind w:firstLine="640"/>
        <w:jc w:val="both"/>
      </w:pPr>
      <w:r>
        <w:rPr>
          <w:rFonts w:ascii="仿宋_GB2312" w:hAnsi="仿宋_GB2312" w:eastAsia="仿宋_GB2312"/>
          <w:b/>
          <w:sz w:val="32"/>
        </w:rPr>
        <w:t>本年收入185.70万元，</w:t>
      </w:r>
      <w:r>
        <w:rPr>
          <w:rFonts w:ascii="仿宋_GB2312" w:hAnsi="仿宋_GB2312" w:eastAsia="仿宋_GB2312"/>
          <w:b w:val="0"/>
          <w:sz w:val="32"/>
        </w:rPr>
        <w:t>其中：财政拨款收入185.68万元，占99.99%；上级补助收入0.00万元，占0.00%；事业收入0.00万元，占0.00%；经营收入0.00万元，占0.00%；附属单位上缴收入0.00万元，占0.00%；其他收入0.02万元，占0.01%。</w:t>
      </w:r>
    </w:p>
    <w:p w14:paraId="190ED775">
      <w:pPr>
        <w:spacing w:line="640" w:lineRule="exact"/>
        <w:ind w:firstLine="640"/>
        <w:jc w:val="both"/>
        <w:outlineLvl w:val="2"/>
      </w:pPr>
      <w:r>
        <w:rPr>
          <w:rFonts w:ascii="黑体" w:hAnsi="黑体" w:eastAsia="黑体"/>
          <w:sz w:val="32"/>
        </w:rPr>
        <w:t>三、支出决算情况说明</w:t>
      </w:r>
    </w:p>
    <w:p w14:paraId="3D02154B">
      <w:pPr>
        <w:spacing w:line="580" w:lineRule="exact"/>
        <w:ind w:firstLine="640"/>
        <w:jc w:val="both"/>
      </w:pPr>
      <w:r>
        <w:rPr>
          <w:rFonts w:ascii="仿宋_GB2312" w:hAnsi="仿宋_GB2312" w:eastAsia="仿宋_GB2312"/>
          <w:b/>
          <w:sz w:val="32"/>
        </w:rPr>
        <w:t>本年支出185.68万元，</w:t>
      </w:r>
      <w:r>
        <w:rPr>
          <w:rFonts w:ascii="仿宋_GB2312" w:hAnsi="仿宋_GB2312" w:eastAsia="仿宋_GB2312"/>
          <w:b w:val="0"/>
          <w:sz w:val="32"/>
        </w:rPr>
        <w:t>其中：基本支出185.68万元，占100.00%；项目支出0.00万元，占0.00%；上缴上级支出0.00万元，占0.00%；经营支出0.00万元，占0.00%；对附属单位补助支出0.00万元，占0.00%。</w:t>
      </w:r>
    </w:p>
    <w:p w14:paraId="76CEDB78">
      <w:pPr>
        <w:spacing w:line="640" w:lineRule="exact"/>
        <w:ind w:firstLine="640"/>
        <w:jc w:val="both"/>
        <w:outlineLvl w:val="2"/>
      </w:pPr>
      <w:r>
        <w:rPr>
          <w:rFonts w:ascii="黑体" w:hAnsi="黑体" w:eastAsia="黑体"/>
          <w:sz w:val="32"/>
        </w:rPr>
        <w:t>四、财政拨款收入支出决算总体情况说明</w:t>
      </w:r>
    </w:p>
    <w:p w14:paraId="5A6AFBFF">
      <w:pPr>
        <w:spacing w:line="580" w:lineRule="exact"/>
        <w:ind w:firstLine="640"/>
        <w:jc w:val="both"/>
      </w:pPr>
      <w:r>
        <w:rPr>
          <w:rFonts w:ascii="仿宋_GB2312" w:hAnsi="仿宋_GB2312" w:eastAsia="仿宋_GB2312"/>
          <w:b/>
          <w:sz w:val="32"/>
        </w:rPr>
        <w:t>2025年度财政拨款收入总计185.68万元，</w:t>
      </w:r>
      <w:r>
        <w:rPr>
          <w:rFonts w:ascii="仿宋_GB2312" w:hAnsi="仿宋_GB2312" w:eastAsia="仿宋_GB2312"/>
          <w:b w:val="0"/>
          <w:sz w:val="32"/>
        </w:rPr>
        <w:t>其中：年初财政拨款结转和结余0.00万元，本年财政拨款收入185.68万元。</w:t>
      </w:r>
      <w:r>
        <w:rPr>
          <w:rFonts w:ascii="仿宋_GB2312" w:hAnsi="仿宋_GB2312" w:eastAsia="仿宋_GB2312"/>
          <w:b/>
          <w:sz w:val="32"/>
        </w:rPr>
        <w:t>财政拨款支出总计185.68万元，</w:t>
      </w:r>
      <w:r>
        <w:rPr>
          <w:rFonts w:ascii="仿宋_GB2312" w:hAnsi="仿宋_GB2312" w:eastAsia="仿宋_GB2312"/>
          <w:b w:val="0"/>
          <w:sz w:val="32"/>
        </w:rPr>
        <w:t>其中：年末财政拨款结转和结余0.00万元，本年财政拨款支出185.68万元。</w:t>
      </w:r>
    </w:p>
    <w:p w14:paraId="5557915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增加185.68万元，增长100.00%，主要原因是：本单位为本年新增预算单位，无上年对比数据。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年初预算数334.80万元，决算数185.68万元，预决算差异率-44.54%，主要原因是：本单位本年多名干部调出，相关人员经费减少，人员项目资金结余，年中已按规定将相关预算资金缴回，导致预决算存在差异。</w:t>
      </w:r>
    </w:p>
    <w:p w14:paraId="39ED7B27">
      <w:pPr>
        <w:spacing w:line="640" w:lineRule="exact"/>
        <w:ind w:firstLine="640"/>
        <w:jc w:val="both"/>
        <w:outlineLvl w:val="2"/>
      </w:pPr>
      <w:r>
        <w:rPr>
          <w:rFonts w:ascii="黑体" w:hAnsi="黑体" w:eastAsia="黑体"/>
          <w:sz w:val="32"/>
        </w:rPr>
        <w:t>五、一般公共预算财政拨款支出决算情况说明</w:t>
      </w:r>
    </w:p>
    <w:p w14:paraId="342E6607">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履职运转、民生保障、重点项目等重点支出，体现在有关支出科目中。</w:t>
      </w:r>
    </w:p>
    <w:p w14:paraId="42D26C6C">
      <w:pPr>
        <w:spacing w:line="580" w:lineRule="exact"/>
        <w:ind w:firstLine="640"/>
        <w:jc w:val="both"/>
      </w:pPr>
      <w:r>
        <w:rPr>
          <w:rFonts w:ascii="仿宋_GB2312" w:hAnsi="仿宋_GB2312" w:eastAsia="仿宋_GB2312"/>
          <w:b w:val="0"/>
          <w:sz w:val="32"/>
        </w:rPr>
        <w:t>按照支出功能分类，教育支出（类）其他教育支出（款）其他教育支出（项）的支出占本年财政拨款支出总额的比重最高，2025年度决算数为185.68万元，占比100.00%，主要用于工资福利支出、办公费、差旅费等。</w:t>
      </w:r>
    </w:p>
    <w:p w14:paraId="5350643E">
      <w:pPr>
        <w:spacing w:line="640" w:lineRule="exact"/>
        <w:ind w:firstLine="640"/>
        <w:jc w:val="both"/>
        <w:outlineLvl w:val="3"/>
      </w:pPr>
      <w:r>
        <w:rPr>
          <w:rFonts w:ascii="楷体_GB2312" w:hAnsi="楷体_GB2312" w:eastAsia="楷体_GB2312"/>
          <w:b/>
          <w:sz w:val="32"/>
        </w:rPr>
        <w:t>（一）一般公共预算财政拨款支出决算总体情况</w:t>
      </w:r>
    </w:p>
    <w:p w14:paraId="145C7474">
      <w:pPr>
        <w:spacing w:line="580" w:lineRule="exact"/>
        <w:ind w:firstLine="640"/>
        <w:jc w:val="both"/>
      </w:pPr>
      <w:r>
        <w:rPr>
          <w:rFonts w:ascii="仿宋_GB2312" w:hAnsi="仿宋_GB2312" w:eastAsia="仿宋_GB2312"/>
          <w:b/>
          <w:sz w:val="32"/>
        </w:rPr>
        <w:t>2025年度一般公共预算财政拨款支出185.68万元，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增加185.68万元，增长100.00%，主要原因是：本单位为本年新增预算单位，无上年对比数据。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年初预算数334.80万元，决算数185.68万元，预决算差异率-44.54%，主要原因是：本单位本年多名干部调出，相关人员经费减少，人员项目资金结余，年中已按规定将相关预算资金缴回，导致预决算存在差异。</w:t>
      </w:r>
    </w:p>
    <w:p w14:paraId="3B6D752B">
      <w:pPr>
        <w:spacing w:line="640" w:lineRule="exact"/>
        <w:ind w:firstLine="640"/>
        <w:jc w:val="both"/>
        <w:outlineLvl w:val="3"/>
      </w:pPr>
      <w:r>
        <w:rPr>
          <w:rFonts w:ascii="楷体_GB2312" w:hAnsi="楷体_GB2312" w:eastAsia="楷体_GB2312"/>
          <w:b/>
          <w:sz w:val="32"/>
        </w:rPr>
        <w:t>（二）一般公共预算财政拨款支出决算结构情况</w:t>
      </w:r>
    </w:p>
    <w:p w14:paraId="777F463B">
      <w:pPr>
        <w:spacing w:line="580" w:lineRule="exact"/>
        <w:ind w:firstLine="640"/>
        <w:jc w:val="both"/>
      </w:pPr>
      <w:r>
        <w:rPr>
          <w:rFonts w:ascii="仿宋_GB2312" w:hAnsi="仿宋_GB2312" w:eastAsia="仿宋_GB2312"/>
          <w:b w:val="0"/>
          <w:sz w:val="32"/>
        </w:rPr>
        <w:t>1.教育支出（类）185.68万元，占100.00%。</w:t>
      </w:r>
    </w:p>
    <w:p w14:paraId="573D0E92">
      <w:pPr>
        <w:spacing w:line="640" w:lineRule="exact"/>
        <w:ind w:firstLine="640"/>
        <w:jc w:val="both"/>
        <w:outlineLvl w:val="3"/>
      </w:pPr>
      <w:r>
        <w:rPr>
          <w:rFonts w:ascii="楷体_GB2312" w:hAnsi="楷体_GB2312" w:eastAsia="楷体_GB2312"/>
          <w:b/>
          <w:sz w:val="32"/>
        </w:rPr>
        <w:t>（三）一般公共预算财政拨款支出决算具体情况</w:t>
      </w:r>
    </w:p>
    <w:p w14:paraId="011FE118">
      <w:pPr>
        <w:spacing w:line="580" w:lineRule="exact"/>
        <w:ind w:firstLine="640"/>
        <w:jc w:val="both"/>
      </w:pPr>
      <w:r>
        <w:rPr>
          <w:rFonts w:ascii="仿宋_GB2312" w:hAnsi="仿宋_GB2312" w:eastAsia="仿宋_GB2312"/>
          <w:b w:val="0"/>
          <w:sz w:val="32"/>
        </w:rPr>
        <w:t>1.教育支出（类）其他教育支出（款）其他教育支出（项）：支出决算数为185.68万元，比上年决算增加185.68万元，增长100.00%，主要原因是：本单位为本年新增预算单位，无上年对比数据。</w:t>
      </w:r>
    </w:p>
    <w:p w14:paraId="2C34650F">
      <w:pPr>
        <w:spacing w:line="640" w:lineRule="exact"/>
        <w:ind w:firstLine="640"/>
        <w:jc w:val="both"/>
        <w:outlineLvl w:val="2"/>
      </w:pPr>
      <w:r>
        <w:rPr>
          <w:rFonts w:ascii="黑体" w:hAnsi="黑体" w:eastAsia="黑体"/>
          <w:sz w:val="32"/>
        </w:rPr>
        <w:t>六、一般公共预算财政拨款基本支出决算情况说明</w:t>
      </w:r>
    </w:p>
    <w:p w14:paraId="69887700">
      <w:pPr>
        <w:spacing w:line="580" w:lineRule="exact"/>
        <w:ind w:firstLine="640"/>
        <w:jc w:val="both"/>
      </w:pPr>
      <w:r>
        <w:rPr>
          <w:rFonts w:ascii="仿宋_GB2312" w:hAnsi="仿宋_GB2312" w:eastAsia="仿宋_GB2312"/>
          <w:b w:val="0"/>
          <w:sz w:val="32"/>
        </w:rPr>
        <w:t>2025年度一般公共预算财政拨款基本支出185.68万元，其中：</w:t>
      </w:r>
      <w:r>
        <w:rPr>
          <w:rFonts w:ascii="仿宋_GB2312" w:hAnsi="仿宋_GB2312" w:eastAsia="仿宋_GB2312"/>
          <w:b/>
          <w:sz w:val="32"/>
        </w:rPr>
        <w:t>人员经费174.04万元，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w:t>
      </w:r>
    </w:p>
    <w:p w14:paraId="45841114">
      <w:pPr>
        <w:spacing w:line="580" w:lineRule="exact"/>
        <w:ind w:firstLine="640"/>
        <w:jc w:val="both"/>
      </w:pPr>
      <w:r>
        <w:rPr>
          <w:rFonts w:ascii="仿宋_GB2312" w:hAnsi="仿宋_GB2312" w:eastAsia="仿宋_GB2312"/>
          <w:b/>
          <w:sz w:val="32"/>
        </w:rPr>
        <w:t>公用经费11.64万元，</w:t>
      </w:r>
      <w:r>
        <w:rPr>
          <w:rFonts w:ascii="仿宋_GB2312" w:hAnsi="仿宋_GB2312" w:eastAsia="仿宋_GB2312"/>
          <w:b w:val="0"/>
          <w:sz w:val="32"/>
        </w:rPr>
        <w:t>包括：办公费、手续费、差旅费、工会经费、福利费。</w:t>
      </w:r>
    </w:p>
    <w:p w14:paraId="0E344C4D">
      <w:pPr>
        <w:spacing w:line="640" w:lineRule="exact"/>
        <w:ind w:firstLine="640"/>
        <w:jc w:val="both"/>
        <w:outlineLvl w:val="2"/>
      </w:pPr>
      <w:r>
        <w:rPr>
          <w:rFonts w:ascii="黑体" w:hAnsi="黑体" w:eastAsia="黑体"/>
          <w:sz w:val="32"/>
        </w:rPr>
        <w:t>七、政府性基金预算财政拨款收入支出决算情况说明</w:t>
      </w:r>
    </w:p>
    <w:p w14:paraId="0EC3F71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F7D9239">
      <w:pPr>
        <w:spacing w:line="640" w:lineRule="exact"/>
        <w:ind w:firstLine="640"/>
        <w:jc w:val="both"/>
        <w:outlineLvl w:val="2"/>
      </w:pPr>
      <w:r>
        <w:rPr>
          <w:rFonts w:ascii="黑体" w:hAnsi="黑体" w:eastAsia="黑体"/>
          <w:sz w:val="32"/>
        </w:rPr>
        <w:t>八、国有资本经营预算财政拨款收入支出决算情况说明</w:t>
      </w:r>
    </w:p>
    <w:p w14:paraId="2B2FFB6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2768C3F">
      <w:pPr>
        <w:spacing w:line="640" w:lineRule="exact"/>
        <w:ind w:firstLine="640"/>
        <w:jc w:val="both"/>
        <w:outlineLvl w:val="2"/>
      </w:pPr>
      <w:r>
        <w:rPr>
          <w:rFonts w:ascii="黑体" w:hAnsi="黑体" w:eastAsia="黑体"/>
          <w:sz w:val="32"/>
        </w:rPr>
        <w:t>九、财政拨款“三公”经费支出决算情况说明</w:t>
      </w:r>
    </w:p>
    <w:p w14:paraId="53CD3329">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2025年本单位无财政拨款“三公”经费支出。其中：因公出国（境）费用支出0.00万元，占0.00%，比上年增加0.00万元，增长0.00%，主要原因是：2025年本单位无因公出国（境）费用支出。公务用车购置及运行维护费支出0.00万元，占0.00%，比上年增加0.00万元，增长0.00%，主要原因是：2025年本单位无公务用车购置及运行维护费支出。公务接待费支出0.00万元，占0.00%，比上年增加0.00万元，增长0.00%，主要原因是：2025年本单位无公务接待费支出。</w:t>
      </w:r>
    </w:p>
    <w:p w14:paraId="67975EB9">
      <w:pPr>
        <w:spacing w:line="580" w:lineRule="exact"/>
        <w:ind w:firstLine="640"/>
        <w:jc w:val="both"/>
      </w:pPr>
      <w:r>
        <w:rPr>
          <w:rFonts w:ascii="仿宋_GB2312" w:hAnsi="仿宋_GB2312" w:eastAsia="仿宋_GB2312"/>
          <w:b/>
          <w:sz w:val="32"/>
        </w:rPr>
        <w:t>具体情况如下：</w:t>
      </w:r>
    </w:p>
    <w:p w14:paraId="722D020D">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058AE4B4">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14:paraId="1DC989C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03B72C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4385DDF">
      <w:pPr>
        <w:spacing w:line="640" w:lineRule="exact"/>
        <w:ind w:firstLine="640"/>
        <w:jc w:val="both"/>
        <w:outlineLvl w:val="2"/>
      </w:pPr>
      <w:r>
        <w:rPr>
          <w:rFonts w:ascii="黑体" w:hAnsi="黑体" w:eastAsia="黑体"/>
          <w:sz w:val="32"/>
        </w:rPr>
        <w:t>十、其他重要事项的情况说明</w:t>
      </w:r>
    </w:p>
    <w:p w14:paraId="04F30B03">
      <w:pPr>
        <w:spacing w:line="640" w:lineRule="exact"/>
        <w:ind w:firstLine="640"/>
        <w:jc w:val="both"/>
        <w:outlineLvl w:val="3"/>
      </w:pPr>
      <w:r>
        <w:rPr>
          <w:rFonts w:ascii="楷体_GB2312" w:hAnsi="楷体_GB2312" w:eastAsia="楷体_GB2312"/>
          <w:b/>
          <w:sz w:val="32"/>
        </w:rPr>
        <w:t>（一）机关运行经费及公用经费支出情况</w:t>
      </w:r>
    </w:p>
    <w:p w14:paraId="089CEF3E">
      <w:pPr>
        <w:spacing w:line="580" w:lineRule="exact"/>
        <w:ind w:firstLine="640"/>
        <w:jc w:val="both"/>
      </w:pPr>
      <w:r>
        <w:rPr>
          <w:rFonts w:ascii="仿宋_GB2312" w:hAnsi="仿宋_GB2312" w:eastAsia="仿宋_GB2312"/>
          <w:b w:val="0"/>
          <w:sz w:val="32"/>
        </w:rPr>
        <w:t>2025年度新疆维吾尔自治区民族语言文字规范标准与信息化研究中心（事业单位）公用经费支出11.64万元，比上年增加11.64万元，增长100.00%，主要原因是：本单位为本年新增预算单位，无上年对比数据。</w:t>
      </w:r>
    </w:p>
    <w:p w14:paraId="30963B8A">
      <w:pPr>
        <w:spacing w:line="640" w:lineRule="exact"/>
        <w:ind w:firstLine="640"/>
        <w:jc w:val="both"/>
        <w:outlineLvl w:val="3"/>
      </w:pPr>
      <w:r>
        <w:rPr>
          <w:rFonts w:ascii="楷体_GB2312" w:hAnsi="楷体_GB2312" w:eastAsia="楷体_GB2312"/>
          <w:b/>
          <w:sz w:val="32"/>
        </w:rPr>
        <w:t>（二）政府采购情况</w:t>
      </w:r>
    </w:p>
    <w:p w14:paraId="297CA88C">
      <w:pPr>
        <w:spacing w:line="580" w:lineRule="exact"/>
        <w:ind w:firstLine="640"/>
        <w:jc w:val="both"/>
      </w:pPr>
      <w:r>
        <w:rPr>
          <w:rFonts w:ascii="仿宋_GB2312" w:hAnsi="仿宋_GB2312" w:eastAsia="仿宋_GB2312"/>
          <w:b w:val="0"/>
          <w:sz w:val="32"/>
        </w:rPr>
        <w:t>2025年度政府采购支出总额0.00万元，其中：政府采购货物支出0.00万元、政府采购工程支出0.00万元、政府采购服务支出0.00万元。</w:t>
      </w:r>
    </w:p>
    <w:p w14:paraId="0720A687">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3A79B306">
      <w:pPr>
        <w:spacing w:line="640" w:lineRule="exact"/>
        <w:ind w:firstLine="640"/>
        <w:jc w:val="both"/>
        <w:outlineLvl w:val="3"/>
      </w:pPr>
      <w:r>
        <w:rPr>
          <w:rFonts w:ascii="楷体_GB2312" w:hAnsi="楷体_GB2312" w:eastAsia="楷体_GB2312"/>
          <w:b/>
          <w:sz w:val="32"/>
        </w:rPr>
        <w:t>（三）国有资产占用情况说明</w:t>
      </w:r>
    </w:p>
    <w:p w14:paraId="742D0969">
      <w:pPr>
        <w:spacing w:line="580" w:lineRule="exact"/>
        <w:ind w:firstLine="640"/>
        <w:jc w:val="both"/>
      </w:pPr>
      <w:r>
        <w:rPr>
          <w:rFonts w:ascii="仿宋_GB2312" w:hAnsi="仿宋_GB2312" w:eastAsia="仿宋_GB2312"/>
          <w:b w:val="0"/>
          <w:sz w:val="32"/>
        </w:rPr>
        <w:t>截至2025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098A8FD">
      <w:pPr>
        <w:spacing w:line="640" w:lineRule="exact"/>
        <w:ind w:firstLine="640"/>
        <w:jc w:val="both"/>
        <w:outlineLvl w:val="2"/>
      </w:pPr>
      <w:r>
        <w:rPr>
          <w:rFonts w:ascii="黑体" w:hAnsi="黑体" w:eastAsia="黑体"/>
          <w:sz w:val="32"/>
        </w:rPr>
        <w:t>十一、预算绩效的情况说明</w:t>
      </w:r>
    </w:p>
    <w:p w14:paraId="3483F1CB">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发现的问题及原因：本单位无预算绩效项目。下一步改进措施：本单位无预算绩效项目。</w:t>
      </w:r>
    </w:p>
    <w:p w14:paraId="304F8661">
      <w:r>
        <w:br w:type="page"/>
      </w:r>
    </w:p>
    <w:p w14:paraId="4EF4C384">
      <w:pPr>
        <w:spacing w:line="640" w:lineRule="exact"/>
        <w:ind w:firstLine="640"/>
        <w:jc w:val="both"/>
        <w:outlineLvl w:val="2"/>
      </w:pPr>
      <w:r>
        <w:rPr>
          <w:rFonts w:ascii="黑体" w:hAnsi="黑体" w:eastAsia="黑体"/>
          <w:sz w:val="32"/>
        </w:rPr>
        <w:t>十二、其他需说明的事项</w:t>
      </w:r>
    </w:p>
    <w:p w14:paraId="4536004C">
      <w:pPr>
        <w:spacing w:line="580" w:lineRule="exact"/>
        <w:ind w:firstLine="640"/>
        <w:jc w:val="both"/>
      </w:pPr>
      <w:r>
        <w:rPr>
          <w:rFonts w:ascii="仿宋_GB2312" w:hAnsi="仿宋_GB2312" w:eastAsia="仿宋_GB2312"/>
          <w:b w:val="0"/>
          <w:sz w:val="32"/>
        </w:rPr>
        <w:t>本单位2025年度无政府采购支出，授予中小企业合同金额0.00万元。</w:t>
      </w:r>
      <w:bookmarkStart w:id="0" w:name="_GoBack"/>
      <w:bookmarkEnd w:id="0"/>
    </w:p>
    <w:p w14:paraId="05272894">
      <w:r>
        <w:br w:type="page"/>
      </w:r>
    </w:p>
    <w:p w14:paraId="5E08E4B5">
      <w:pPr>
        <w:spacing w:line="600" w:lineRule="exact"/>
        <w:jc w:val="center"/>
        <w:outlineLvl w:val="0"/>
      </w:pPr>
      <w:r>
        <w:rPr>
          <w:rFonts w:ascii="黑体" w:hAnsi="黑体" w:eastAsia="黑体"/>
          <w:sz w:val="32"/>
        </w:rPr>
        <w:t>第三部分 专业名词解释</w:t>
      </w:r>
    </w:p>
    <w:p w14:paraId="7B893AE1">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1C85F8A0">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E66FDEF">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5DA9EC84">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C8A6DB2">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13F3179D">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65746DAD">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121FA72E">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4A7029C2">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56AFC8BA">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25288529">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31E57CAE">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3246D0CD">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4E67144A">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6FD7C324">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7CAD1862">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7174EE67">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3EDBA99D">
      <w:r>
        <w:br w:type="page"/>
      </w:r>
    </w:p>
    <w:p w14:paraId="5AB62ABC">
      <w:pPr>
        <w:spacing w:line="240" w:lineRule="auto"/>
        <w:jc w:val="center"/>
        <w:outlineLvl w:val="1"/>
      </w:pPr>
      <w:r>
        <w:rPr>
          <w:rFonts w:ascii="黑体" w:hAnsi="黑体" w:eastAsia="黑体"/>
          <w:sz w:val="32"/>
        </w:rPr>
        <w:t>第四部分 部门决算报表（见附表）</w:t>
      </w:r>
    </w:p>
    <w:p w14:paraId="0F02C133">
      <w:pPr>
        <w:autoSpaceDE w:val="0"/>
        <w:autoSpaceDN w:val="0"/>
        <w:spacing w:line="600" w:lineRule="exact"/>
        <w:ind w:firstLine="640" w:firstLineChars="200"/>
      </w:pPr>
      <w:r>
        <w:rPr>
          <w:rFonts w:ascii="仿宋_GB2312" w:hAnsi="仿宋_GB2312" w:eastAsia="仿宋_GB2312"/>
          <w:b w:val="0"/>
          <w:sz w:val="32"/>
        </w:rPr>
        <w:t>一、《收入支出决算总表》</w:t>
      </w:r>
    </w:p>
    <w:p w14:paraId="3301EDD7">
      <w:pPr>
        <w:autoSpaceDE w:val="0"/>
        <w:autoSpaceDN w:val="0"/>
        <w:spacing w:line="600" w:lineRule="exact"/>
        <w:ind w:firstLine="640" w:firstLineChars="200"/>
      </w:pPr>
      <w:r>
        <w:rPr>
          <w:rFonts w:ascii="仿宋_GB2312" w:hAnsi="仿宋_GB2312" w:eastAsia="仿宋_GB2312"/>
          <w:b w:val="0"/>
          <w:sz w:val="32"/>
        </w:rPr>
        <w:t>二、《收入决算表》</w:t>
      </w:r>
    </w:p>
    <w:p w14:paraId="15E09007">
      <w:pPr>
        <w:autoSpaceDE w:val="0"/>
        <w:autoSpaceDN w:val="0"/>
        <w:spacing w:line="600" w:lineRule="exact"/>
        <w:ind w:firstLine="640" w:firstLineChars="200"/>
      </w:pPr>
      <w:r>
        <w:rPr>
          <w:rFonts w:ascii="仿宋_GB2312" w:hAnsi="仿宋_GB2312" w:eastAsia="仿宋_GB2312"/>
          <w:b w:val="0"/>
          <w:sz w:val="32"/>
        </w:rPr>
        <w:t>三、《支出决算表》</w:t>
      </w:r>
    </w:p>
    <w:p w14:paraId="6FBF0367">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4B7203BC">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147EA115">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7DFB8505">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5DAC8601">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4A2526F5">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150AEE94">
      <w:pPr>
        <w:autoSpaceDE w:val="0"/>
        <w:autoSpaceDN w:val="0"/>
        <w:spacing w:line="600" w:lineRule="exact"/>
        <w:ind w:firstLine="640" w:firstLineChars="200"/>
      </w:pPr>
    </w:p>
    <w:p w14:paraId="012C4912">
      <w:pPr>
        <w:autoSpaceDE w:val="0"/>
        <w:autoSpaceDN w:val="0"/>
        <w:spacing w:line="600" w:lineRule="exact"/>
        <w:ind w:firstLine="640" w:firstLineChars="200"/>
      </w:pPr>
    </w:p>
    <w:p w14:paraId="05B6E3AD">
      <w:pPr>
        <w:autoSpaceDE w:val="0"/>
        <w:autoSpaceDN w:val="0"/>
        <w:spacing w:line="600" w:lineRule="exact"/>
        <w:ind w:firstLine="640" w:firstLineChars="200"/>
      </w:pPr>
    </w:p>
    <w:p w14:paraId="2623D77F">
      <w:pPr>
        <w:autoSpaceDE w:val="0"/>
        <w:autoSpaceDN w:val="0"/>
        <w:spacing w:line="600" w:lineRule="exact"/>
        <w:ind w:firstLine="640" w:firstLineChars="200"/>
      </w:pPr>
    </w:p>
    <w:p w14:paraId="5690F52F">
      <w:pPr>
        <w:autoSpaceDE w:val="0"/>
        <w:autoSpaceDN w:val="0"/>
        <w:spacing w:line="600" w:lineRule="exact"/>
        <w:ind w:firstLine="640" w:firstLineChars="200"/>
      </w:pPr>
    </w:p>
    <w:sectPr>
      <w:footerReference r:id="rId3" w:type="default"/>
      <w:pgSz w:w="11906" w:h="16838"/>
      <w:pgMar w:top="2098" w:right="1531" w:bottom="1985"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6E2C2C7-31C9-41FD-AB8F-15A6940A659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C14F79A-7063-4DD6-B233-DE63BDB87343}"/>
  </w:font>
  <w:font w:name="仿宋_GB2312">
    <w:panose1 w:val="02010609030101010101"/>
    <w:charset w:val="86"/>
    <w:family w:val="modern"/>
    <w:pitch w:val="default"/>
    <w:sig w:usb0="00000001" w:usb1="080E0000" w:usb2="00000000" w:usb3="00000000" w:csb0="00040000" w:csb1="00000000"/>
    <w:embedRegular r:id="rId3" w:fontKey="{516EC18F-2662-40F3-99E2-CB65E4C107B1}"/>
  </w:font>
  <w:font w:name="楷体_GB2312">
    <w:altName w:val="楷体"/>
    <w:panose1 w:val="00000000000000000000"/>
    <w:charset w:val="00"/>
    <w:family w:val="auto"/>
    <w:pitch w:val="default"/>
    <w:sig w:usb0="00000000" w:usb1="00000000" w:usb2="00000000" w:usb3="00000000" w:csb0="00000000" w:csb1="00000000"/>
    <w:embedRegular r:id="rId4" w:fontKey="{177A2672-12EF-4521-87C6-4429CA03F6AE}"/>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015590B"/>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24147fc4-f19e-4626-b652-ee4596d386da</errorID>
      <errorWord>民族</errorWord>
      <group>L1_Sensitive</group>
      <groupName>敏感问题</groupName>
      <ability>L2_UserSensitive</ability>
      <abilityName>自定义敏感词</abilityName>
      <candidateList/>
      <explain>来自自定义敏感词库。</explain>
      <paraID>55AD8026</paraID>
      <start>8</start>
      <end>10</end>
      <status>ignored</status>
      <modifiedWord/>
      <trackRevisions>false</trackRevisions>
    </reviewItem>
    <reviewItem>
      <errorID>9e47290e-b74b-4494-bdfb-8ee46ddb6302</errorID>
      <errorWord>民族</errorWord>
      <group>L1_Sensitive</group>
      <groupName>敏感问题</groupName>
      <ability>L2_UserSensitive</ability>
      <abilityName>自定义敏感词</abilityName>
      <candidateList/>
      <explain>来自自定义敏感词库。</explain>
      <paraID>6FDF0788</paraID>
      <start>5</start>
      <end>7</end>
      <status>ignored</status>
      <modifiedWord/>
      <trackRevisions>false</trackRevisions>
    </reviewItem>
    <reviewItem>
      <errorID>0239e683-ba30-4b62-a9cb-10196f3cf6ca</errorID>
      <errorWord>民族</errorWord>
      <group>L1_Sensitive</group>
      <groupName>敏感问题</groupName>
      <ability>L2_UserSensitive</ability>
      <abilityName>自定义敏感词</abilityName>
      <candidateList/>
      <explain>来自自定义敏感词库。</explain>
      <paraID>6DB1273B</paraID>
      <start>8</start>
      <end>10</end>
      <status>ignored</status>
      <modifiedWord/>
      <trackRevisions>false</trackRevisions>
    </reviewItem>
    <reviewItem>
      <errorID>4a4b560a-8278-4d04-86d9-a508d3cb31ce</errorID>
      <errorWord>民族</errorWord>
      <group>L1_Sensitive</group>
      <groupName>敏感问题</groupName>
      <ability>L2_UserSensitive</ability>
      <abilityName>自定义敏感词</abilityName>
      <candidateList/>
      <explain>来自自定义敏感词库。</explain>
      <paraID> 89CEF3E</paraID>
      <start>14</start>
      <end>16</end>
      <status>ignored</status>
      <modifiedWord/>
      <trackRevisions>false</trackRevisions>
    </reviewItem>
    <reviewItem>
      <errorID>c0bf2caf-1587-47fa-be5f-3747850fc9d7</errorID>
      <errorWord>2月31日</errorWord>
      <group>L1_Sensitive</group>
      <groupName>敏感问题</groupName>
      <ability>L2_UserSensitive</ability>
      <abilityName>自定义敏感词</abilityName>
      <candidateList/>
      <explain>来自自定义敏感词库。</explain>
      <paraID>742D0969</paraID>
      <start>8</start>
      <end>13</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5596cc50-49fb-4daf-acec-ba63e0a90a81}">
  <ds:schemaRefs/>
</ds:datastoreItem>
</file>

<file path=docProps/app.xml><?xml version="1.0" encoding="utf-8"?>
<Properties xmlns="http://schemas.openxmlformats.org/officeDocument/2006/extended-properties" xmlns:vt="http://schemas.openxmlformats.org/officeDocument/2006/docPropsVTypes">
  <Template>Normal.dotm</Template>
  <Pages>16</Pages>
  <Words>2017</Words>
  <Characters>2320</Characters>
  <Lines>10</Lines>
  <Paragraphs>2</Paragraphs>
  <TotalTime>8</TotalTime>
  <ScaleCrop>false</ScaleCrop>
  <LinksUpToDate>false</LinksUpToDate>
  <CharactersWithSpaces>2328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2026-09-01T07:50:42Z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