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乌鲁木齐八一中学</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43D461AE">
      <w:r>
        <w:br w:type="page"/>
      </w:r>
    </w:p>
    <w:p w14:paraId="7C45792C">
      <w:pPr>
        <w:spacing w:line="640" w:lineRule="exact"/>
        <w:jc w:val="center"/>
        <w:outlineLvl w:val="1"/>
      </w:pPr>
      <w:r>
        <w:rPr>
          <w:rFonts w:ascii="黑体" w:hAnsi="黑体" w:eastAsia="黑体"/>
          <w:sz w:val="32"/>
        </w:rPr>
        <w:t>第一部分 单位概况</w:t>
      </w:r>
    </w:p>
    <w:p w14:paraId="2D1BAD74">
      <w:pPr>
        <w:spacing w:line="640" w:lineRule="exact"/>
        <w:ind w:firstLine="640"/>
        <w:jc w:val="both"/>
        <w:outlineLvl w:val="2"/>
      </w:pPr>
      <w:r>
        <w:rPr>
          <w:rFonts w:ascii="黑体" w:hAnsi="黑体" w:eastAsia="黑体"/>
          <w:sz w:val="32"/>
        </w:rPr>
        <w:t>一、主要职能</w:t>
      </w:r>
    </w:p>
    <w:p w14:paraId="2692EC1C">
      <w:pPr>
        <w:spacing w:line="580" w:lineRule="exact"/>
        <w:ind w:firstLine="640"/>
        <w:jc w:val="both"/>
      </w:pPr>
      <w:r>
        <w:rPr>
          <w:rFonts w:ascii="仿宋_GB2312" w:hAnsi="仿宋_GB2312" w:eastAsia="仿宋_GB2312"/>
          <w:sz w:val="32"/>
        </w:rPr>
        <w:t>乌鲁木齐八一中学是自治区教育厅直属的财政补助事业单位。</w:t>
      </w:r>
      <w:bookmarkStart w:id="0" w:name="_GoBack"/>
      <w:r>
        <w:rPr>
          <w:rFonts w:hint="eastAsia" w:ascii="仿宋_GB2312" w:hAnsi="仿宋_GB2312" w:eastAsia="仿宋_GB2312"/>
          <w:sz w:val="32"/>
          <w:lang w:eastAsia="zh-CN"/>
        </w:rPr>
        <w:t>学校</w:t>
      </w:r>
      <w:bookmarkEnd w:id="0"/>
      <w:r>
        <w:rPr>
          <w:rFonts w:ascii="仿宋_GB2312" w:hAnsi="仿宋_GB2312" w:eastAsia="仿宋_GB2312"/>
          <w:sz w:val="32"/>
        </w:rPr>
        <w:t>由幼儿园、小学、初中和高中组成一条龙式的教育主体，形成了独特的基础教育风景。学校教师队伍梯队合理，还有一大批教师是自治区级及市级学科带头人、骨干教师和优秀青年教师，他们引领着学校教育教学改革的方向，为学校教育教学质量的不断提升提供强大的师资保障。</w:t>
      </w:r>
    </w:p>
    <w:p w14:paraId="4376FAD0">
      <w:pPr>
        <w:spacing w:line="640" w:lineRule="exact"/>
        <w:ind w:firstLine="640"/>
        <w:jc w:val="both"/>
        <w:outlineLvl w:val="2"/>
      </w:pPr>
      <w:r>
        <w:rPr>
          <w:rFonts w:ascii="黑体" w:hAnsi="黑体" w:eastAsia="黑体"/>
          <w:sz w:val="32"/>
        </w:rPr>
        <w:t>二、机构设置</w:t>
      </w:r>
    </w:p>
    <w:p w14:paraId="31264F9E">
      <w:pPr>
        <w:spacing w:line="580" w:lineRule="exact"/>
        <w:ind w:firstLine="640"/>
        <w:jc w:val="both"/>
      </w:pPr>
      <w:r>
        <w:rPr>
          <w:rFonts w:ascii="仿宋_GB2312" w:hAnsi="仿宋_GB2312" w:eastAsia="仿宋_GB2312"/>
          <w:sz w:val="32"/>
        </w:rPr>
        <w:t>乌鲁木齐八一中学无下属预算单位。</w:t>
      </w:r>
    </w:p>
    <w:p w14:paraId="38352970">
      <w:r>
        <w:br w:type="page"/>
      </w:r>
    </w:p>
    <w:p w14:paraId="05E29BBD">
      <w:pPr>
        <w:spacing w:line="240" w:lineRule="auto"/>
        <w:jc w:val="center"/>
        <w:outlineLvl w:val="1"/>
      </w:pPr>
      <w:r>
        <w:rPr>
          <w:rFonts w:ascii="黑体" w:hAnsi="黑体" w:eastAsia="黑体"/>
          <w:sz w:val="32"/>
        </w:rPr>
        <w:t>第二部分 部门决算情况说明</w:t>
      </w:r>
    </w:p>
    <w:p w14:paraId="39CC2763">
      <w:pPr>
        <w:spacing w:line="640" w:lineRule="exact"/>
        <w:ind w:firstLine="640"/>
        <w:jc w:val="both"/>
        <w:outlineLvl w:val="2"/>
      </w:pPr>
      <w:r>
        <w:rPr>
          <w:rFonts w:ascii="黑体" w:hAnsi="黑体" w:eastAsia="黑体"/>
          <w:sz w:val="32"/>
        </w:rPr>
        <w:t>一、收入支出决算总体情况说明</w:t>
      </w:r>
    </w:p>
    <w:p w14:paraId="33DA01B3">
      <w:pPr>
        <w:spacing w:line="580" w:lineRule="exact"/>
        <w:ind w:firstLine="640"/>
        <w:jc w:val="both"/>
      </w:pPr>
      <w:r>
        <w:rPr>
          <w:rFonts w:ascii="仿宋_GB2312" w:hAnsi="仿宋_GB2312" w:eastAsia="仿宋_GB2312"/>
          <w:b/>
          <w:sz w:val="32"/>
        </w:rPr>
        <w:t>2025年度收入总计17,681.77万元，</w:t>
      </w:r>
      <w:r>
        <w:rPr>
          <w:rFonts w:ascii="仿宋_GB2312" w:hAnsi="仿宋_GB2312" w:eastAsia="仿宋_GB2312"/>
          <w:b w:val="0"/>
          <w:sz w:val="32"/>
        </w:rPr>
        <w:t>其中：本年收入合计16,302.09万元，使用非财政拨款结余（含专用结余）42.85万元，年初结转和结余1,336.83万元。</w:t>
      </w:r>
    </w:p>
    <w:p w14:paraId="4C8891BA">
      <w:pPr>
        <w:spacing w:line="580" w:lineRule="exact"/>
        <w:ind w:firstLine="640"/>
        <w:jc w:val="both"/>
      </w:pPr>
      <w:r>
        <w:rPr>
          <w:rFonts w:ascii="仿宋_GB2312" w:hAnsi="仿宋_GB2312" w:eastAsia="仿宋_GB2312"/>
          <w:b/>
          <w:sz w:val="32"/>
        </w:rPr>
        <w:t>2025年度支出总计17,681.77万元，</w:t>
      </w:r>
      <w:r>
        <w:rPr>
          <w:rFonts w:ascii="仿宋_GB2312" w:hAnsi="仿宋_GB2312" w:eastAsia="仿宋_GB2312"/>
          <w:b w:val="0"/>
          <w:sz w:val="32"/>
        </w:rPr>
        <w:t>其中：本年支出合计17,497.64万元，结余分配0.00万元，年末结转和结余184.13万元。</w:t>
      </w:r>
    </w:p>
    <w:p w14:paraId="4113F782">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884.29万元，增长5.26%，主要原因是：2024年第八批自治区预算内投资-八一中学五星路校区基础配套设施提升工程预算资金结转至2025年继续使用，且2025年增加新财建〔2025〕188号预算资金，导致较上年支出决算数大幅增加。</w:t>
      </w:r>
    </w:p>
    <w:p w14:paraId="4970FCEE">
      <w:pPr>
        <w:spacing w:line="640" w:lineRule="exact"/>
        <w:ind w:firstLine="640"/>
        <w:jc w:val="both"/>
        <w:outlineLvl w:val="2"/>
      </w:pPr>
      <w:r>
        <w:rPr>
          <w:rFonts w:ascii="黑体" w:hAnsi="黑体" w:eastAsia="黑体"/>
          <w:sz w:val="32"/>
        </w:rPr>
        <w:t>二、收入决算情况说明</w:t>
      </w:r>
    </w:p>
    <w:p w14:paraId="40883CAA">
      <w:pPr>
        <w:spacing w:line="580" w:lineRule="exact"/>
        <w:ind w:firstLine="640"/>
        <w:jc w:val="both"/>
      </w:pPr>
      <w:r>
        <w:rPr>
          <w:rFonts w:ascii="仿宋_GB2312" w:hAnsi="仿宋_GB2312" w:eastAsia="仿宋_GB2312"/>
          <w:b/>
          <w:sz w:val="32"/>
        </w:rPr>
        <w:t>本年收入16,302.09万元，</w:t>
      </w:r>
      <w:r>
        <w:rPr>
          <w:rFonts w:ascii="仿宋_GB2312" w:hAnsi="仿宋_GB2312" w:eastAsia="仿宋_GB2312"/>
          <w:b w:val="0"/>
          <w:sz w:val="32"/>
        </w:rPr>
        <w:t>其中：财政拨款收入14,997.63万元，占92.00%；上级补助收入0.00万元，占0.00%；事业收入663.57万元，占4.07%；经营收入0.00万元，占0.00%；附属单位上缴收入0.00万元，占0.00%；其他收入640.90万元，占3.93%。</w:t>
      </w:r>
    </w:p>
    <w:p w14:paraId="387CB04E">
      <w:pPr>
        <w:spacing w:line="640" w:lineRule="exact"/>
        <w:ind w:firstLine="640"/>
        <w:jc w:val="both"/>
        <w:outlineLvl w:val="2"/>
      </w:pPr>
      <w:r>
        <w:rPr>
          <w:rFonts w:ascii="黑体" w:hAnsi="黑体" w:eastAsia="黑体"/>
          <w:sz w:val="32"/>
        </w:rPr>
        <w:t>三、支出决算情况说明</w:t>
      </w:r>
    </w:p>
    <w:p w14:paraId="0336CBA4">
      <w:pPr>
        <w:spacing w:line="580" w:lineRule="exact"/>
        <w:ind w:firstLine="640"/>
        <w:jc w:val="both"/>
      </w:pPr>
      <w:r>
        <w:rPr>
          <w:rFonts w:ascii="仿宋_GB2312" w:hAnsi="仿宋_GB2312" w:eastAsia="仿宋_GB2312"/>
          <w:b/>
          <w:sz w:val="32"/>
        </w:rPr>
        <w:t>本年支出17,497.64万元，</w:t>
      </w:r>
      <w:r>
        <w:rPr>
          <w:rFonts w:ascii="仿宋_GB2312" w:hAnsi="仿宋_GB2312" w:eastAsia="仿宋_GB2312"/>
          <w:b w:val="0"/>
          <w:sz w:val="32"/>
        </w:rPr>
        <w:t>其中：基本支出12,537.96万元，占71.66%；项目支出4,959.69万元，占28.34%；上缴上级支出0.00万元，占0.00%；经营支出0.00万元，占0.00%；对附属单位补助支出0.00万元，占0.00%。</w:t>
      </w:r>
    </w:p>
    <w:p w14:paraId="5B1C8EDA">
      <w:pPr>
        <w:spacing w:line="640" w:lineRule="exact"/>
        <w:ind w:firstLine="640"/>
        <w:jc w:val="both"/>
        <w:outlineLvl w:val="2"/>
      </w:pPr>
      <w:r>
        <w:rPr>
          <w:rFonts w:ascii="黑体" w:hAnsi="黑体" w:eastAsia="黑体"/>
          <w:sz w:val="32"/>
        </w:rPr>
        <w:t>四、财政拨款收入支出决算总体情况说明</w:t>
      </w:r>
    </w:p>
    <w:p w14:paraId="0D2314E0">
      <w:pPr>
        <w:spacing w:line="580" w:lineRule="exact"/>
        <w:ind w:firstLine="640"/>
        <w:jc w:val="both"/>
      </w:pPr>
      <w:r>
        <w:rPr>
          <w:rFonts w:ascii="仿宋_GB2312" w:hAnsi="仿宋_GB2312" w:eastAsia="仿宋_GB2312"/>
          <w:b/>
          <w:sz w:val="32"/>
        </w:rPr>
        <w:t>2025年度财政拨款收入总计16,161.89万元，</w:t>
      </w:r>
      <w:r>
        <w:rPr>
          <w:rFonts w:ascii="仿宋_GB2312" w:hAnsi="仿宋_GB2312" w:eastAsia="仿宋_GB2312"/>
          <w:b w:val="0"/>
          <w:sz w:val="32"/>
        </w:rPr>
        <w:t>其中：年初财政拨款结转和结余1,164.27万元，本年财政拨款收入14,997.63万元。</w:t>
      </w:r>
      <w:r>
        <w:rPr>
          <w:rFonts w:ascii="仿宋_GB2312" w:hAnsi="仿宋_GB2312" w:eastAsia="仿宋_GB2312"/>
          <w:b/>
          <w:sz w:val="32"/>
        </w:rPr>
        <w:t>财政拨款支出总计16,161.89万元，</w:t>
      </w:r>
      <w:r>
        <w:rPr>
          <w:rFonts w:ascii="仿宋_GB2312" w:hAnsi="仿宋_GB2312" w:eastAsia="仿宋_GB2312"/>
          <w:b w:val="0"/>
          <w:sz w:val="32"/>
        </w:rPr>
        <w:t>其中：年末财政拨款结转和结余0.00万元，本年财政拨款支出16,161.89万元。</w:t>
      </w:r>
    </w:p>
    <w:p w14:paraId="2DECDA6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1,031.93万元，增长6.82%，主要原因是：2024年第八批自治区预算内投资-八一中学五星路校区基础配套设施提升工程预算资金结转至2025年继续使用，且2025年增加新财建〔2025〕188号预算资金，导致较上年支出决算数大幅增加。</w:t>
      </w:r>
      <w:r>
        <w:rPr>
          <w:rFonts w:ascii="仿宋_GB2312" w:hAnsi="仿宋_GB2312" w:eastAsia="仿宋_GB2312"/>
          <w:b/>
          <w:sz w:val="32"/>
        </w:rPr>
        <w:t>与年初预算相比，</w:t>
      </w:r>
      <w:r>
        <w:rPr>
          <w:rFonts w:ascii="仿宋_GB2312" w:hAnsi="仿宋_GB2312" w:eastAsia="仿宋_GB2312"/>
          <w:b w:val="0"/>
          <w:sz w:val="32"/>
        </w:rPr>
        <w:t>年初预算数13,062.75万元，决算数16,161.89万元，预决算差异率23.73%，主要原因是：一是2024年底结余资金全额结转至2025年继续使用，如2024年第八批自治区预算内投资-八一中学五星路校区基础配套设施提升工程、2024年自治区义务教育城市校舍安全保障长效机制项目等；二是年中追加人员经费、新财建〔2025〕188号预算资金、下达义务教育学校专项补助经费、新疆人才发展基金2025年度第一轮支持资金--天山英才培养计划等资金，导致预决算存在差异。</w:t>
      </w:r>
    </w:p>
    <w:p w14:paraId="7B3E86F5">
      <w:pPr>
        <w:spacing w:line="640" w:lineRule="exact"/>
        <w:ind w:firstLine="640"/>
        <w:jc w:val="both"/>
        <w:outlineLvl w:val="2"/>
      </w:pPr>
      <w:r>
        <w:rPr>
          <w:rFonts w:ascii="黑体" w:hAnsi="黑体" w:eastAsia="黑体"/>
          <w:sz w:val="32"/>
        </w:rPr>
        <w:t>五、一般公共预算财政拨款支出决算情况说明</w:t>
      </w:r>
    </w:p>
    <w:p w14:paraId="0635F279">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教育教学运行、基础设施提升改造等重点支出，体现在有关支出科目中。</w:t>
      </w:r>
    </w:p>
    <w:p w14:paraId="6AEE7B82">
      <w:pPr>
        <w:spacing w:line="580" w:lineRule="exact"/>
        <w:ind w:firstLine="640"/>
        <w:jc w:val="both"/>
      </w:pPr>
      <w:r>
        <w:rPr>
          <w:rFonts w:ascii="仿宋_GB2312" w:hAnsi="仿宋_GB2312" w:eastAsia="仿宋_GB2312"/>
          <w:b w:val="0"/>
          <w:sz w:val="32"/>
        </w:rPr>
        <w:t>按照支出功能分类，教育支出（类）普通教育（款）高中教育（项）的支出占本年财政拨款支出总额的比重最高，2025年度决算数为9,009.83万元，占比55.75%，主要用于在职人员工资福利支出、公用经费支出及五星路校区基础配套设施提升工程等项目。</w:t>
      </w:r>
    </w:p>
    <w:p w14:paraId="511A8948">
      <w:pPr>
        <w:spacing w:line="640" w:lineRule="exact"/>
        <w:ind w:firstLine="640"/>
        <w:jc w:val="both"/>
        <w:outlineLvl w:val="3"/>
      </w:pPr>
      <w:r>
        <w:rPr>
          <w:rFonts w:ascii="楷体_GB2312" w:hAnsi="楷体_GB2312" w:eastAsia="楷体_GB2312"/>
          <w:b/>
          <w:sz w:val="32"/>
        </w:rPr>
        <w:t>（一）一般公共预算财政拨款支出决算总体情况</w:t>
      </w:r>
    </w:p>
    <w:p w14:paraId="15847274">
      <w:pPr>
        <w:spacing w:line="580" w:lineRule="exact"/>
        <w:ind w:firstLine="640"/>
        <w:jc w:val="both"/>
      </w:pPr>
      <w:r>
        <w:rPr>
          <w:rFonts w:ascii="仿宋_GB2312" w:hAnsi="仿宋_GB2312" w:eastAsia="仿宋_GB2312"/>
          <w:b/>
          <w:sz w:val="32"/>
        </w:rPr>
        <w:t>2025年度一般公共预算财政拨款支出16,161.89万元，</w:t>
      </w:r>
      <w:r>
        <w:rPr>
          <w:rFonts w:ascii="仿宋_GB2312" w:hAnsi="仿宋_GB2312" w:eastAsia="仿宋_GB2312"/>
          <w:b w:val="0"/>
          <w:sz w:val="32"/>
        </w:rPr>
        <w:t>占本年支出合计的92.37%。</w:t>
      </w:r>
      <w:r>
        <w:rPr>
          <w:rFonts w:ascii="仿宋_GB2312" w:hAnsi="仿宋_GB2312" w:eastAsia="仿宋_GB2312"/>
          <w:b/>
          <w:sz w:val="32"/>
        </w:rPr>
        <w:t>与上年相比，</w:t>
      </w:r>
      <w:r>
        <w:rPr>
          <w:rFonts w:ascii="仿宋_GB2312" w:hAnsi="仿宋_GB2312" w:eastAsia="仿宋_GB2312"/>
          <w:b w:val="0"/>
          <w:sz w:val="32"/>
        </w:rPr>
        <w:t>增加2,278.56万元，增长16.41%，主要原因是：2024年第八批自治区预算内投资-八一中学五星路校区基础配套设施提升工程预算资金结转至2025年继续使用，且2025年增加新财建〔2025〕188号预算资金，导致较上年支出决算数大幅增加。</w:t>
      </w:r>
      <w:r>
        <w:rPr>
          <w:rFonts w:ascii="仿宋_GB2312" w:hAnsi="仿宋_GB2312" w:eastAsia="仿宋_GB2312"/>
          <w:b/>
          <w:sz w:val="32"/>
        </w:rPr>
        <w:t>与年初预算相比，</w:t>
      </w:r>
      <w:r>
        <w:rPr>
          <w:rFonts w:ascii="仿宋_GB2312" w:hAnsi="仿宋_GB2312" w:eastAsia="仿宋_GB2312"/>
          <w:b w:val="0"/>
          <w:sz w:val="32"/>
        </w:rPr>
        <w:t>年初预算数13,062.75万元，决算数16,161.89万元，预决算差异率23.73%，主要原因是：一是2024年底结余资金全额结转至2025年继续使用，如2024年第八批自治区预算内投资-八一中学五星路校区基础配套设施提升工程、2024年自治区义务教育城市校舍安全保障长效机制项目等；二是年中追加人员经费、新财建〔2025〕188号预算资金、下达义务教育学校专项补助经费、新疆人才发展基金2025年度第一轮支持资金--天山英才培养计划等资金，导致预决算存在差异。</w:t>
      </w:r>
    </w:p>
    <w:p w14:paraId="561CF2D0">
      <w:pPr>
        <w:spacing w:line="640" w:lineRule="exact"/>
        <w:ind w:firstLine="640"/>
        <w:jc w:val="both"/>
        <w:outlineLvl w:val="3"/>
      </w:pPr>
      <w:r>
        <w:rPr>
          <w:rFonts w:ascii="楷体_GB2312" w:hAnsi="楷体_GB2312" w:eastAsia="楷体_GB2312"/>
          <w:b/>
          <w:sz w:val="32"/>
        </w:rPr>
        <w:t>（二）一般公共预算财政拨款支出决算结构情况</w:t>
      </w:r>
    </w:p>
    <w:p w14:paraId="55F1A1F0">
      <w:pPr>
        <w:spacing w:line="580" w:lineRule="exact"/>
        <w:ind w:firstLine="640"/>
        <w:jc w:val="both"/>
      </w:pPr>
      <w:r>
        <w:rPr>
          <w:rFonts w:ascii="仿宋_GB2312" w:hAnsi="仿宋_GB2312" w:eastAsia="仿宋_GB2312"/>
          <w:b w:val="0"/>
          <w:sz w:val="32"/>
        </w:rPr>
        <w:t>1.教育支出（类）16,158.89万元，占99.98%。</w:t>
      </w:r>
    </w:p>
    <w:p w14:paraId="01C98ED9">
      <w:pPr>
        <w:spacing w:line="580" w:lineRule="exact"/>
        <w:ind w:firstLine="640"/>
        <w:jc w:val="both"/>
      </w:pPr>
      <w:r>
        <w:rPr>
          <w:rFonts w:ascii="仿宋_GB2312" w:hAnsi="仿宋_GB2312" w:eastAsia="仿宋_GB2312"/>
          <w:b w:val="0"/>
          <w:sz w:val="32"/>
        </w:rPr>
        <w:t>2.文化旅游体育与传媒支出（类）3.00万元，占0.02%。</w:t>
      </w:r>
    </w:p>
    <w:p w14:paraId="29C5EBF3">
      <w:pPr>
        <w:spacing w:line="640" w:lineRule="exact"/>
        <w:ind w:firstLine="640"/>
        <w:jc w:val="both"/>
        <w:outlineLvl w:val="3"/>
      </w:pPr>
      <w:r>
        <w:rPr>
          <w:rFonts w:ascii="楷体_GB2312" w:hAnsi="楷体_GB2312" w:eastAsia="楷体_GB2312"/>
          <w:b/>
          <w:sz w:val="32"/>
        </w:rPr>
        <w:t>（三）一般公共预算财政拨款支出决算具体情况</w:t>
      </w:r>
    </w:p>
    <w:p w14:paraId="2D42FC47">
      <w:pPr>
        <w:spacing w:line="580" w:lineRule="exact"/>
        <w:ind w:firstLine="640"/>
        <w:jc w:val="both"/>
      </w:pPr>
      <w:r>
        <w:rPr>
          <w:rFonts w:ascii="仿宋_GB2312" w:hAnsi="仿宋_GB2312" w:eastAsia="仿宋_GB2312"/>
          <w:b w:val="0"/>
          <w:sz w:val="32"/>
        </w:rPr>
        <w:t>1.教育支出（类）普通教育（款）学前教育（项）：支出决算数为321.80万元，比上年决算减少184.92万元，下降36.49%，主要原因是：维修（护）费较上年大幅减少，本年度以零星维修为主，无大型修缮改造项目实施，相应支出减少。</w:t>
      </w:r>
    </w:p>
    <w:p w14:paraId="74B26CEA">
      <w:pPr>
        <w:spacing w:line="580" w:lineRule="exact"/>
        <w:ind w:firstLine="640"/>
        <w:jc w:val="both"/>
      </w:pPr>
      <w:r>
        <w:rPr>
          <w:rFonts w:ascii="仿宋_GB2312" w:hAnsi="仿宋_GB2312" w:eastAsia="仿宋_GB2312"/>
          <w:b w:val="0"/>
          <w:sz w:val="32"/>
        </w:rPr>
        <w:t>2.教育支出（类）普通教育（款）小学教育（项）：支出决算数为2,309.79万元，比上年决算增加275.23万元，增长13.53%，主要原因是：本年提前下达2025年中央义务教育薄弱环节改善与能力提升补助资金支出增加。</w:t>
      </w:r>
    </w:p>
    <w:p w14:paraId="2E33BD8C">
      <w:pPr>
        <w:spacing w:line="580" w:lineRule="exact"/>
        <w:ind w:firstLine="640"/>
        <w:jc w:val="both"/>
      </w:pPr>
      <w:r>
        <w:rPr>
          <w:rFonts w:ascii="仿宋_GB2312" w:hAnsi="仿宋_GB2312" w:eastAsia="仿宋_GB2312"/>
          <w:b w:val="0"/>
          <w:sz w:val="32"/>
        </w:rPr>
        <w:t>3.教育支出（类）普通教育（款）初中教育（项）：支出决算数为4,517.47万元，比上年决算减少244.97万元，下降5.14%，主要原因是：本年薄弱环节改善与能力提升补助资金较上年有所减少。</w:t>
      </w:r>
    </w:p>
    <w:p w14:paraId="6163D26C">
      <w:pPr>
        <w:spacing w:line="580" w:lineRule="exact"/>
        <w:ind w:firstLine="640"/>
        <w:jc w:val="both"/>
      </w:pPr>
      <w:r>
        <w:rPr>
          <w:rFonts w:ascii="仿宋_GB2312" w:hAnsi="仿宋_GB2312" w:eastAsia="仿宋_GB2312"/>
          <w:b w:val="0"/>
          <w:sz w:val="32"/>
        </w:rPr>
        <w:t>4.教育支出（类）普通教育（款）高中教育（项）：支出决算数为9,009.83万元，比上年决算增加2,430.22万元，增长36.94%，主要原因是：2024年第八批自治区预算内投资-八一中学五星路校区基础配套设施提升工程预算资金结转至2025年继续使用，且2025年增加新财建〔2025〕188号预算资金，导致较上年支出决算数大幅增加。</w:t>
      </w:r>
    </w:p>
    <w:p w14:paraId="7AFD920A">
      <w:pPr>
        <w:spacing w:line="580" w:lineRule="exact"/>
        <w:ind w:firstLine="640"/>
        <w:jc w:val="both"/>
      </w:pPr>
      <w:r>
        <w:rPr>
          <w:rFonts w:ascii="仿宋_GB2312" w:hAnsi="仿宋_GB2312" w:eastAsia="仿宋_GB2312"/>
          <w:b w:val="0"/>
          <w:sz w:val="32"/>
        </w:rPr>
        <w:t>5.文化旅游体育与传媒支出（类）体育（款）体育竞赛（项）：支出决算数为3.00万元，比上年决算增加3.00万元，增长100.00%，主要原因是：本年度新增第十五届全国运动会新疆体育代表团获奖运动员、教练员和有关单位奖励经费，相应支出增加。</w:t>
      </w:r>
    </w:p>
    <w:p w14:paraId="00BDE269">
      <w:pPr>
        <w:spacing w:line="640" w:lineRule="exact"/>
        <w:ind w:firstLine="640"/>
        <w:jc w:val="both"/>
        <w:outlineLvl w:val="2"/>
      </w:pPr>
      <w:r>
        <w:rPr>
          <w:rFonts w:ascii="黑体" w:hAnsi="黑体" w:eastAsia="黑体"/>
          <w:sz w:val="32"/>
        </w:rPr>
        <w:t>六、一般公共预算财政拨款基本支出决算情况说明</w:t>
      </w:r>
    </w:p>
    <w:p w14:paraId="4E05FC18">
      <w:pPr>
        <w:spacing w:line="580" w:lineRule="exact"/>
        <w:ind w:firstLine="640"/>
        <w:jc w:val="both"/>
      </w:pPr>
      <w:r>
        <w:rPr>
          <w:rFonts w:ascii="仿宋_GB2312" w:hAnsi="仿宋_GB2312" w:eastAsia="仿宋_GB2312"/>
          <w:b w:val="0"/>
          <w:sz w:val="32"/>
        </w:rPr>
        <w:t>2025年度一般公共预算财政拨款基本支出12,537.96万元，其中：</w:t>
      </w:r>
      <w:r>
        <w:rPr>
          <w:rFonts w:ascii="仿宋_GB2312" w:hAnsi="仿宋_GB2312" w:eastAsia="仿宋_GB2312"/>
          <w:b/>
          <w:sz w:val="32"/>
        </w:rPr>
        <w:t>人员经费11,265.92万元，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离休费、退休费、抚恤金、生活补助、其他对个人和家庭的补助。</w:t>
      </w:r>
    </w:p>
    <w:p w14:paraId="5AFE8BE1">
      <w:pPr>
        <w:spacing w:line="580" w:lineRule="exact"/>
        <w:ind w:firstLine="640"/>
        <w:jc w:val="both"/>
      </w:pPr>
      <w:r>
        <w:rPr>
          <w:rFonts w:ascii="仿宋_GB2312" w:hAnsi="仿宋_GB2312" w:eastAsia="仿宋_GB2312"/>
          <w:b/>
          <w:sz w:val="32"/>
        </w:rPr>
        <w:t>公用经费1,272.03万元，</w:t>
      </w:r>
      <w:r>
        <w:rPr>
          <w:rFonts w:ascii="仿宋_GB2312" w:hAnsi="仿宋_GB2312" w:eastAsia="仿宋_GB2312"/>
          <w:b w:val="0"/>
          <w:sz w:val="32"/>
        </w:rPr>
        <w:t>包括：办公费、手续费、水费、电费、邮电费、取暖费、物业管理费、差旅费、培训费、专用材料费、劳务费、工会经费、福利费、其他交通费用、其他商品和服务支出。</w:t>
      </w:r>
    </w:p>
    <w:p w14:paraId="5C6D1253">
      <w:pPr>
        <w:spacing w:line="640" w:lineRule="exact"/>
        <w:ind w:firstLine="640"/>
        <w:jc w:val="both"/>
        <w:outlineLvl w:val="2"/>
      </w:pPr>
      <w:r>
        <w:rPr>
          <w:rFonts w:ascii="黑体" w:hAnsi="黑体" w:eastAsia="黑体"/>
          <w:sz w:val="32"/>
        </w:rPr>
        <w:t>七、政府性基金预算财政拨款收入支出决算情况说明</w:t>
      </w:r>
    </w:p>
    <w:p w14:paraId="4023772D">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9C60D12">
      <w:pPr>
        <w:spacing w:line="640" w:lineRule="exact"/>
        <w:ind w:firstLine="640"/>
        <w:jc w:val="both"/>
        <w:outlineLvl w:val="2"/>
      </w:pPr>
      <w:r>
        <w:rPr>
          <w:rFonts w:ascii="黑体" w:hAnsi="黑体" w:eastAsia="黑体"/>
          <w:sz w:val="32"/>
        </w:rPr>
        <w:t>八、国有资本经营预算财政拨款收入支出决算情况说明</w:t>
      </w:r>
    </w:p>
    <w:p w14:paraId="0D73012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5626756">
      <w:pPr>
        <w:spacing w:line="640" w:lineRule="exact"/>
        <w:ind w:firstLine="640"/>
        <w:jc w:val="both"/>
        <w:outlineLvl w:val="2"/>
      </w:pPr>
      <w:r>
        <w:rPr>
          <w:rFonts w:ascii="黑体" w:hAnsi="黑体" w:eastAsia="黑体"/>
          <w:sz w:val="32"/>
        </w:rPr>
        <w:t>九、财政拨款“三公”经费支出决算情况说明</w:t>
      </w:r>
    </w:p>
    <w:p w14:paraId="2FF32936">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其中：因公出国（境）费用支出0.00万元，占0.00%，比上年增加0.00万元，增长0.00%，主要原因是：2024年与2025年均无因公出国（境）费用支出。公务用车购置及运行维护费支出0.00万元，占0.00%，比上年增加0.00万元，增长0.00%，主要原因是：2024年与2025年均无公务用车购置及运行维护费支出。公务接待费支出0.00万元，占0.00%，比上年增加0.00万元，增长0.00%，主要原因是：2024年与2025年均无公务接待费支出。</w:t>
      </w:r>
    </w:p>
    <w:p w14:paraId="0D101562">
      <w:pPr>
        <w:spacing w:line="580" w:lineRule="exact"/>
        <w:ind w:firstLine="640"/>
        <w:jc w:val="both"/>
      </w:pPr>
      <w:r>
        <w:rPr>
          <w:rFonts w:ascii="仿宋_GB2312" w:hAnsi="仿宋_GB2312" w:eastAsia="仿宋_GB2312"/>
          <w:b/>
          <w:sz w:val="32"/>
        </w:rPr>
        <w:t>具体情况如下：</w:t>
      </w:r>
    </w:p>
    <w:p w14:paraId="49FA250B">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2ACA191F">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6辆，与公务用车保有量差异原因是：差异车辆为单位业务用车，车辆费用未使用财政拨款公务用车运行维护费支付，由x财政专户资金保障。</w:t>
      </w:r>
    </w:p>
    <w:p w14:paraId="49A6D6FE">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6298CD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7B394912">
      <w:pPr>
        <w:spacing w:line="640" w:lineRule="exact"/>
        <w:ind w:firstLine="640"/>
        <w:jc w:val="both"/>
        <w:outlineLvl w:val="2"/>
      </w:pPr>
      <w:r>
        <w:rPr>
          <w:rFonts w:ascii="黑体" w:hAnsi="黑体" w:eastAsia="黑体"/>
          <w:sz w:val="32"/>
        </w:rPr>
        <w:t>十、其他重要事项的情况说明</w:t>
      </w:r>
    </w:p>
    <w:p w14:paraId="39BB4EAE">
      <w:pPr>
        <w:spacing w:line="640" w:lineRule="exact"/>
        <w:ind w:firstLine="640"/>
        <w:jc w:val="both"/>
        <w:outlineLvl w:val="3"/>
      </w:pPr>
      <w:r>
        <w:rPr>
          <w:rFonts w:ascii="楷体_GB2312" w:hAnsi="楷体_GB2312" w:eastAsia="楷体_GB2312"/>
          <w:b/>
          <w:sz w:val="32"/>
        </w:rPr>
        <w:t>（一）机关运行经费及公用经费支出情况</w:t>
      </w:r>
    </w:p>
    <w:p w14:paraId="66A6ADAD">
      <w:pPr>
        <w:spacing w:line="580" w:lineRule="exact"/>
        <w:ind w:firstLine="640"/>
        <w:jc w:val="both"/>
      </w:pPr>
      <w:r>
        <w:rPr>
          <w:rFonts w:ascii="仿宋_GB2312" w:hAnsi="仿宋_GB2312" w:eastAsia="仿宋_GB2312"/>
          <w:b w:val="0"/>
          <w:sz w:val="32"/>
        </w:rPr>
        <w:t>2025年度乌鲁木齐八一中学（事业单位）公用经费支出1,272.03万元，比上年增加68.90万元，增长5.73%，主要原因是：本年度为保障校园日常运行，水电费较上年有所增加。</w:t>
      </w:r>
    </w:p>
    <w:p w14:paraId="48A050C3">
      <w:pPr>
        <w:spacing w:line="640" w:lineRule="exact"/>
        <w:ind w:firstLine="640"/>
        <w:jc w:val="both"/>
        <w:outlineLvl w:val="3"/>
      </w:pPr>
      <w:r>
        <w:rPr>
          <w:rFonts w:ascii="楷体_GB2312" w:hAnsi="楷体_GB2312" w:eastAsia="楷体_GB2312"/>
          <w:b/>
          <w:sz w:val="32"/>
        </w:rPr>
        <w:t>（二）政府采购情况</w:t>
      </w:r>
    </w:p>
    <w:p w14:paraId="7D5DE831">
      <w:pPr>
        <w:spacing w:line="580" w:lineRule="exact"/>
        <w:ind w:firstLine="640"/>
        <w:jc w:val="both"/>
      </w:pPr>
      <w:r>
        <w:rPr>
          <w:rFonts w:ascii="仿宋_GB2312" w:hAnsi="仿宋_GB2312" w:eastAsia="仿宋_GB2312"/>
          <w:b w:val="0"/>
          <w:sz w:val="32"/>
        </w:rPr>
        <w:t>2025年度政府采购支出总额1,169.17万元，其中：政府采购货物支出127.01万元、政府采购工程支出970.76万元、政府采购服务支出71.40万元。</w:t>
      </w:r>
    </w:p>
    <w:p w14:paraId="70E39019">
      <w:pPr>
        <w:spacing w:line="580" w:lineRule="exact"/>
        <w:ind w:firstLine="640"/>
        <w:jc w:val="both"/>
      </w:pPr>
      <w:r>
        <w:rPr>
          <w:rFonts w:ascii="仿宋_GB2312" w:hAnsi="仿宋_GB2312" w:eastAsia="仿宋_GB2312"/>
          <w:b w:val="0"/>
          <w:sz w:val="32"/>
        </w:rPr>
        <w:t>授予中小企业合同金额557.13万元，占政府采购支出总额的47.65%，其中：授予小微企业合同金额546.18万元，占政府采购支出总额的46.72%。</w:t>
      </w:r>
    </w:p>
    <w:p w14:paraId="75CF3DF2">
      <w:pPr>
        <w:spacing w:line="640" w:lineRule="exact"/>
        <w:ind w:firstLine="640"/>
        <w:jc w:val="both"/>
        <w:outlineLvl w:val="3"/>
      </w:pPr>
      <w:r>
        <w:rPr>
          <w:rFonts w:ascii="楷体_GB2312" w:hAnsi="楷体_GB2312" w:eastAsia="楷体_GB2312"/>
          <w:b/>
          <w:sz w:val="32"/>
        </w:rPr>
        <w:t>（三）国有资产占用情况说明</w:t>
      </w:r>
    </w:p>
    <w:p w14:paraId="04939DE6">
      <w:pPr>
        <w:spacing w:line="580" w:lineRule="exact"/>
        <w:ind w:firstLine="640"/>
        <w:jc w:val="both"/>
      </w:pPr>
      <w:r>
        <w:rPr>
          <w:rFonts w:ascii="仿宋_GB2312" w:hAnsi="仿宋_GB2312" w:eastAsia="仿宋_GB2312"/>
          <w:b w:val="0"/>
          <w:sz w:val="32"/>
        </w:rPr>
        <w:t>截至2025年12月31日，房屋139,545.04平方米，价值44,552.30万元。车辆6辆，价值175.41万元，其中：副部（省）级及以上领导用车0辆、主要负责人用车0辆、机要通信用车0辆、应急保障用车0辆、执法执勤用车0辆、特种专业技术用车0辆、离退休干部服务用车0辆、其他用车6辆，其他用车主要是：单位业务用车。单价100万元（含）以上设备（不含车辆）0台（套）。</w:t>
      </w:r>
    </w:p>
    <w:p w14:paraId="4EB1D52C">
      <w:pPr>
        <w:spacing w:line="640" w:lineRule="exact"/>
        <w:ind w:firstLine="640"/>
        <w:jc w:val="both"/>
        <w:outlineLvl w:val="2"/>
      </w:pPr>
      <w:r>
        <w:rPr>
          <w:rFonts w:ascii="黑体" w:hAnsi="黑体" w:eastAsia="黑体"/>
          <w:sz w:val="32"/>
        </w:rPr>
        <w:t>十一、预算绩效的情况说明</w:t>
      </w:r>
    </w:p>
    <w:p w14:paraId="2704F158">
      <w:pPr>
        <w:spacing w:line="580" w:lineRule="exact"/>
        <w:ind w:firstLine="640"/>
        <w:jc w:val="both"/>
      </w:pPr>
      <w:r>
        <w:rPr>
          <w:rFonts w:ascii="仿宋_GB2312" w:hAnsi="仿宋_GB2312" w:eastAsia="仿宋_GB2312"/>
          <w:b w:val="0"/>
          <w:sz w:val="32"/>
        </w:rPr>
        <w:t>根据预算绩效管理要求，本单位预算绩效评价项目1个，全年预算数2,695.42万元，全年执行数1,502.91万元。预算绩效管理取得的成效：一是预算资金保障导向更加明确，财政资金重点投向教育教学、师资建设、校园运维等办学核心领域，切实保障学校各项教育教学工作有序开展，提升资金使用针对性；二是绩效全流程管理落地见效，严格落实预算编制、执行监控、绩效自评全链条管理，通过绩效自评全面复盘资金使用成效，为后续年度预算编制提供参考，持续提升财政资金使用效益。发现的问题及原因：一是部分业务部门绩效理念有待加强，对绩效监控工作重视不足，财务与业务部门协同配合不够到位；二是部分项目受实施条件影响，项目推进节奏不及预期，一定程度影响预算执行进度。下一步改进措施：一是强化绩效管理宣传，压实业务部门主体责任，健全财务与业务协同工作机制；二是加大业务培训力度，提升项目管理人员绩效编制、绩效监控实操水平；三是强化项目全过程跟踪管理，紧盯项目实施进度，不断提升预算绩效管理工作质效。具体附项目支出绩效自评表。</w:t>
      </w:r>
    </w:p>
    <w:p w14:paraId="665A1671">
      <w:r>
        <w:br w:type="page"/>
      </w:r>
    </w:p>
    <w:p w14:paraId="68DFDF51">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49418DB3">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4B648A7">
            <w:pPr>
              <w:spacing w:before="0" w:after="0" w:line="240" w:lineRule="auto"/>
              <w:jc w:val="center"/>
            </w:pPr>
            <w:r>
              <w:rPr>
                <w:rFonts w:ascii="宋体" w:hAnsi="宋体" w:eastAsia="宋体"/>
                <w:b/>
                <w:i w:val="0"/>
                <w:sz w:val="32"/>
              </w:rPr>
              <w:t>项目支出绩效自评表</w:t>
            </w:r>
          </w:p>
        </w:tc>
      </w:tr>
      <w:tr w14:paraId="5C38D4D9">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C1426E8">
            <w:pPr>
              <w:spacing w:before="0" w:after="0" w:line="240" w:lineRule="auto"/>
              <w:jc w:val="center"/>
            </w:pPr>
            <w:r>
              <w:rPr>
                <w:rFonts w:ascii="宋体" w:hAnsi="宋体" w:eastAsia="宋体"/>
                <w:b w:val="0"/>
                <w:i w:val="0"/>
                <w:sz w:val="22"/>
              </w:rPr>
              <w:t>(2025年度)</w:t>
            </w:r>
          </w:p>
        </w:tc>
      </w:tr>
      <w:tr w14:paraId="3AA3A55A">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254B3">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48CAB9D1">
            <w:pPr>
              <w:spacing w:before="0" w:after="0" w:line="240" w:lineRule="auto"/>
              <w:jc w:val="center"/>
            </w:pPr>
            <w:r>
              <w:rPr>
                <w:rFonts w:ascii="宋体" w:hAnsi="宋体" w:eastAsia="宋体"/>
                <w:b w:val="0"/>
                <w:i w:val="0"/>
                <w:sz w:val="18"/>
              </w:rPr>
              <w:t>2025年非财政拨款项目</w:t>
            </w:r>
          </w:p>
        </w:tc>
      </w:tr>
      <w:tr w14:paraId="0F382A0A">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04249">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C1AD367">
            <w:pPr>
              <w:spacing w:before="0" w:after="0" w:line="240" w:lineRule="auto"/>
              <w:jc w:val="center"/>
            </w:pPr>
            <w:r>
              <w:rPr>
                <w:rFonts w:ascii="宋体" w:hAnsi="宋体" w:eastAsia="宋体"/>
                <w:b w:val="0"/>
                <w:i w:val="0"/>
                <w:sz w:val="18"/>
              </w:rPr>
              <w:t>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411C4">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75A16FA">
            <w:pPr>
              <w:spacing w:before="0" w:after="0" w:line="240" w:lineRule="auto"/>
              <w:jc w:val="center"/>
            </w:pPr>
            <w:r>
              <w:rPr>
                <w:rFonts w:ascii="宋体" w:hAnsi="宋体" w:eastAsia="宋体"/>
                <w:b w:val="0"/>
                <w:i w:val="0"/>
                <w:sz w:val="18"/>
              </w:rPr>
              <w:t>乌鲁木齐八一中学</w:t>
            </w:r>
          </w:p>
        </w:tc>
      </w:tr>
      <w:tr w14:paraId="2DD9C273">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609AF3">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8616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82013A">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016027">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68A17">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1FB40">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B0420">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54A363">
            <w:pPr>
              <w:spacing w:before="0" w:after="0" w:line="240" w:lineRule="auto"/>
              <w:jc w:val="center"/>
            </w:pPr>
            <w:r>
              <w:rPr>
                <w:rFonts w:ascii="宋体" w:hAnsi="宋体" w:eastAsia="宋体"/>
                <w:b/>
                <w:i w:val="0"/>
                <w:sz w:val="18"/>
              </w:rPr>
              <w:t>得分</w:t>
            </w:r>
          </w:p>
        </w:tc>
      </w:tr>
      <w:tr w14:paraId="3078E0C7">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D832409"/>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8F4A2">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5B40BA">
            <w:pPr>
              <w:spacing w:before="0" w:after="0" w:line="240" w:lineRule="auto"/>
              <w:jc w:val="center"/>
            </w:pPr>
            <w:r>
              <w:rPr>
                <w:rFonts w:ascii="宋体" w:hAnsi="宋体" w:eastAsia="宋体"/>
                <w:b w:val="0"/>
                <w:i w:val="0"/>
                <w:sz w:val="18"/>
              </w:rPr>
              <w:t>2695.42</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E39A7B">
            <w:pPr>
              <w:spacing w:before="0" w:after="0" w:line="240" w:lineRule="auto"/>
              <w:jc w:val="center"/>
            </w:pPr>
            <w:r>
              <w:rPr>
                <w:rFonts w:ascii="宋体" w:hAnsi="宋体" w:eastAsia="宋体"/>
                <w:b w:val="0"/>
                <w:i w:val="0"/>
                <w:sz w:val="18"/>
              </w:rPr>
              <w:t>2695.42</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B4EA8">
            <w:pPr>
              <w:spacing w:before="0" w:after="0" w:line="240" w:lineRule="auto"/>
              <w:jc w:val="center"/>
            </w:pPr>
            <w:r>
              <w:rPr>
                <w:rFonts w:ascii="宋体" w:hAnsi="宋体" w:eastAsia="宋体"/>
                <w:b w:val="0"/>
                <w:i w:val="0"/>
                <w:sz w:val="18"/>
              </w:rPr>
              <w:t>1502.91</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5C20AD">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F9736">
            <w:pPr>
              <w:spacing w:before="0" w:after="0" w:line="240" w:lineRule="auto"/>
              <w:jc w:val="center"/>
            </w:pPr>
            <w:r>
              <w:rPr>
                <w:rFonts w:ascii="宋体" w:hAnsi="宋体" w:eastAsia="宋体"/>
                <w:b w:val="0"/>
                <w:i w:val="0"/>
                <w:sz w:val="18"/>
              </w:rPr>
              <w:t>55.76%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0B8CD5">
            <w:pPr>
              <w:spacing w:before="0" w:after="0" w:line="240" w:lineRule="auto"/>
              <w:jc w:val="center"/>
            </w:pPr>
            <w:r>
              <w:rPr>
                <w:rFonts w:ascii="宋体" w:hAnsi="宋体" w:eastAsia="宋体"/>
                <w:b w:val="0"/>
                <w:i w:val="0"/>
                <w:sz w:val="18"/>
              </w:rPr>
              <w:t>0.00</w:t>
            </w:r>
          </w:p>
        </w:tc>
      </w:tr>
      <w:tr w14:paraId="5C92CDB3">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6709B40"/>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11131">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50ECBE">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7AD3E">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27753">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578689">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AA9A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289F2A">
            <w:pPr>
              <w:spacing w:before="0" w:after="0" w:line="240" w:lineRule="auto"/>
              <w:jc w:val="center"/>
            </w:pPr>
            <w:r>
              <w:rPr>
                <w:rFonts w:ascii="宋体" w:hAnsi="宋体" w:eastAsia="宋体"/>
                <w:b w:val="0"/>
                <w:i w:val="0"/>
                <w:sz w:val="18"/>
              </w:rPr>
              <w:t>—</w:t>
            </w:r>
          </w:p>
        </w:tc>
      </w:tr>
      <w:tr w14:paraId="20A2C788">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3D1BD4A"/>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74B39">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0FB10A">
            <w:pPr>
              <w:spacing w:before="0" w:after="0" w:line="240" w:lineRule="auto"/>
              <w:jc w:val="center"/>
            </w:pPr>
            <w:r>
              <w:rPr>
                <w:rFonts w:ascii="宋体" w:hAnsi="宋体" w:eastAsia="宋体"/>
                <w:b w:val="0"/>
                <w:i w:val="0"/>
                <w:sz w:val="18"/>
              </w:rPr>
              <w:t>2695.42</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7E692">
            <w:pPr>
              <w:spacing w:before="0" w:after="0" w:line="240" w:lineRule="auto"/>
              <w:jc w:val="center"/>
            </w:pPr>
            <w:r>
              <w:rPr>
                <w:rFonts w:ascii="宋体" w:hAnsi="宋体" w:eastAsia="宋体"/>
                <w:b w:val="0"/>
                <w:i w:val="0"/>
                <w:sz w:val="18"/>
              </w:rPr>
              <w:t>2695.42</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56E7DB">
            <w:pPr>
              <w:spacing w:before="0" w:after="0" w:line="240" w:lineRule="auto"/>
              <w:jc w:val="center"/>
            </w:pPr>
            <w:r>
              <w:rPr>
                <w:rFonts w:ascii="宋体" w:hAnsi="宋体" w:eastAsia="宋体"/>
                <w:b w:val="0"/>
                <w:i w:val="0"/>
                <w:sz w:val="18"/>
              </w:rPr>
              <w:t>1502.91</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F0373A">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45ADF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324DC0">
            <w:pPr>
              <w:spacing w:before="0" w:after="0" w:line="240" w:lineRule="auto"/>
              <w:jc w:val="center"/>
            </w:pPr>
            <w:r>
              <w:rPr>
                <w:rFonts w:ascii="宋体" w:hAnsi="宋体" w:eastAsia="宋体"/>
                <w:b w:val="0"/>
                <w:i w:val="0"/>
                <w:sz w:val="18"/>
              </w:rPr>
              <w:t>—</w:t>
            </w:r>
          </w:p>
        </w:tc>
      </w:tr>
      <w:tr w14:paraId="0BF3EC04">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BA33A4">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986ACF">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370BAB">
            <w:pPr>
              <w:spacing w:before="0" w:after="0" w:line="240" w:lineRule="auto"/>
              <w:jc w:val="center"/>
            </w:pPr>
            <w:r>
              <w:rPr>
                <w:rFonts w:ascii="宋体" w:hAnsi="宋体" w:eastAsia="宋体"/>
                <w:b/>
                <w:i w:val="0"/>
                <w:sz w:val="18"/>
              </w:rPr>
              <w:t>实际完成情况</w:t>
            </w:r>
          </w:p>
        </w:tc>
      </w:tr>
      <w:tr w14:paraId="34C5702D">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8C5F735"/>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63D8E4">
            <w:pPr>
              <w:spacing w:before="0" w:after="0" w:line="240" w:lineRule="auto"/>
              <w:jc w:val="center"/>
            </w:pPr>
            <w:r>
              <w:rPr>
                <w:rFonts w:ascii="宋体" w:hAnsi="宋体" w:eastAsia="宋体"/>
                <w:b w:val="0"/>
                <w:i w:val="0"/>
                <w:sz w:val="18"/>
              </w:rPr>
              <w:t>保障学校正常运转</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7A9ACC">
            <w:pPr>
              <w:spacing w:before="0" w:after="0" w:line="240" w:lineRule="auto"/>
              <w:jc w:val="center"/>
            </w:pPr>
            <w:r>
              <w:rPr>
                <w:rFonts w:ascii="宋体" w:hAnsi="宋体" w:eastAsia="宋体"/>
                <w:b w:val="0"/>
                <w:i w:val="0"/>
                <w:sz w:val="18"/>
              </w:rPr>
              <w:t>保障学校正常运转</w:t>
            </w:r>
          </w:p>
        </w:tc>
      </w:tr>
      <w:tr w14:paraId="31DA7AEF">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3A1DF2">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B985FC">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AD2EA7">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1657D7">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8DFE4B">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0F45B7">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653F75">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E9A6F3">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ED9557">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EE070B">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F18EB8">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78A571">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27EA6A">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71C86E">
            <w:pPr>
              <w:spacing w:before="0" w:after="0" w:line="240" w:lineRule="auto"/>
              <w:jc w:val="center"/>
            </w:pPr>
            <w:r>
              <w:rPr>
                <w:rFonts w:ascii="宋体" w:hAnsi="宋体" w:eastAsia="宋体"/>
                <w:b/>
                <w:i w:val="0"/>
                <w:sz w:val="18"/>
              </w:rPr>
              <w:t>偏差原因分析及改进措施</w:t>
            </w:r>
          </w:p>
        </w:tc>
      </w:tr>
      <w:tr w14:paraId="1752D67F">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319D17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5A65F2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FE86DC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E61BB2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611D27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C86E0C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0D3874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412EEA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3AB4D8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3E0E65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CCF973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D3042E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89EFE0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4B3E258"/>
        </w:tc>
      </w:tr>
      <w:tr w14:paraId="769AAA69">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3C402E">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5645C3">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F971F2">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1280B8">
            <w:pPr>
              <w:spacing w:before="0" w:after="0" w:line="240" w:lineRule="auto"/>
              <w:jc w:val="center"/>
            </w:pPr>
            <w:r>
              <w:rPr>
                <w:rFonts w:ascii="宋体" w:hAnsi="宋体" w:eastAsia="宋体"/>
                <w:b w:val="0"/>
                <w:i w:val="0"/>
                <w:sz w:val="18"/>
              </w:rPr>
              <w:t>公务用车数量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1DC6F9">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B80537">
            <w:pPr>
              <w:spacing w:before="0" w:after="0" w:line="240" w:lineRule="auto"/>
              <w:jc w:val="center"/>
            </w:pPr>
            <w:r>
              <w:rPr>
                <w:rFonts w:ascii="宋体" w:hAnsi="宋体" w:eastAsia="宋体"/>
                <w:b w:val="0"/>
                <w:i w:val="0"/>
                <w:sz w:val="18"/>
              </w:rPr>
              <w:t>=6辆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1EE07B">
            <w:pPr>
              <w:spacing w:before="0" w:after="0" w:line="240" w:lineRule="auto"/>
              <w:jc w:val="center"/>
            </w:pPr>
            <w:r>
              <w:rPr>
                <w:rFonts w:ascii="宋体" w:hAnsi="宋体" w:eastAsia="宋体"/>
                <w:b w:val="0"/>
                <w:i w:val="0"/>
                <w:sz w:val="18"/>
              </w:rPr>
              <w:t>=6辆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9341F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C629F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474401">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87C6FE">
            <w:pPr>
              <w:spacing w:before="0" w:after="0" w:line="240" w:lineRule="auto"/>
              <w:jc w:val="center"/>
            </w:pPr>
            <w:r>
              <w:rPr>
                <w:rFonts w:ascii="宋体" w:hAnsi="宋体" w:eastAsia="宋体"/>
                <w:b w:val="0"/>
                <w:i w:val="0"/>
                <w:sz w:val="18"/>
              </w:rPr>
              <w:t>4辆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66528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C08194">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8FCE5B">
            <w:pPr>
              <w:spacing w:before="0" w:after="0" w:line="240" w:lineRule="auto"/>
              <w:jc w:val="center"/>
            </w:pPr>
          </w:p>
        </w:tc>
      </w:tr>
      <w:tr w14:paraId="5FB421D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FD8E1F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EB733F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FF923D">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FFC768">
            <w:pPr>
              <w:spacing w:before="0" w:after="0" w:line="240" w:lineRule="auto"/>
              <w:jc w:val="center"/>
            </w:pPr>
            <w:r>
              <w:rPr>
                <w:rFonts w:ascii="宋体" w:hAnsi="宋体" w:eastAsia="宋体"/>
                <w:b w:val="0"/>
                <w:i w:val="0"/>
                <w:sz w:val="18"/>
              </w:rPr>
              <w:t>课后延时服务费发放次数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1CDC9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55FDCD">
            <w:pPr>
              <w:spacing w:before="0" w:after="0" w:line="240" w:lineRule="auto"/>
              <w:jc w:val="center"/>
            </w:pPr>
            <w:r>
              <w:rPr>
                <w:rFonts w:ascii="宋体" w:hAnsi="宋体" w:eastAsia="宋体"/>
                <w:b w:val="0"/>
                <w:i w:val="0"/>
                <w:sz w:val="18"/>
              </w:rPr>
              <w:t>=2次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D60E9C">
            <w:pPr>
              <w:spacing w:before="0" w:after="0" w:line="240" w:lineRule="auto"/>
              <w:jc w:val="center"/>
            </w:pPr>
            <w:r>
              <w:rPr>
                <w:rFonts w:ascii="宋体" w:hAnsi="宋体" w:eastAsia="宋体"/>
                <w:b w:val="0"/>
                <w:i w:val="0"/>
                <w:sz w:val="18"/>
              </w:rPr>
              <w:t>=2次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73B81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4FD04B">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A3650E">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930BD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13912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326E0E">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1D9E0C">
            <w:pPr>
              <w:spacing w:before="0" w:after="0" w:line="240" w:lineRule="auto"/>
              <w:jc w:val="center"/>
            </w:pPr>
          </w:p>
        </w:tc>
      </w:tr>
      <w:tr w14:paraId="1FD05D6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9D1FB8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AEBCC0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EEBAF5">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247E4B">
            <w:pPr>
              <w:spacing w:before="0" w:after="0" w:line="240" w:lineRule="auto"/>
              <w:jc w:val="center"/>
            </w:pPr>
            <w:r>
              <w:rPr>
                <w:rFonts w:ascii="宋体" w:hAnsi="宋体" w:eastAsia="宋体"/>
                <w:b w:val="0"/>
                <w:i w:val="0"/>
                <w:sz w:val="18"/>
              </w:rPr>
              <w:t>助学金发放人数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4600D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63E5D2">
            <w:pPr>
              <w:spacing w:before="0" w:after="0" w:line="240" w:lineRule="auto"/>
              <w:jc w:val="center"/>
            </w:pPr>
            <w:r>
              <w:rPr>
                <w:rFonts w:ascii="宋体" w:hAnsi="宋体" w:eastAsia="宋体"/>
                <w:b w:val="0"/>
                <w:i w:val="0"/>
                <w:sz w:val="18"/>
              </w:rPr>
              <w:t>&gt;=700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E0DCE2">
            <w:pPr>
              <w:spacing w:before="0" w:after="0" w:line="240" w:lineRule="auto"/>
              <w:jc w:val="center"/>
            </w:pPr>
            <w:r>
              <w:rPr>
                <w:rFonts w:ascii="宋体" w:hAnsi="宋体" w:eastAsia="宋体"/>
                <w:b w:val="0"/>
                <w:i w:val="0"/>
                <w:sz w:val="18"/>
              </w:rPr>
              <w:t>=994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B86F5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EAFD1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C0FEE2">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05E72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7FE4D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952BD4">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BA8BBB">
            <w:pPr>
              <w:spacing w:before="0" w:after="0" w:line="240" w:lineRule="auto"/>
              <w:jc w:val="center"/>
            </w:pPr>
          </w:p>
        </w:tc>
      </w:tr>
      <w:tr w14:paraId="5FC7F0C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0D22C5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40CFBE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A9C0A9">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A989C1">
            <w:pPr>
              <w:spacing w:before="0" w:after="0" w:line="240" w:lineRule="auto"/>
              <w:jc w:val="center"/>
            </w:pPr>
            <w:r>
              <w:rPr>
                <w:rFonts w:ascii="宋体" w:hAnsi="宋体" w:eastAsia="宋体"/>
                <w:b w:val="0"/>
                <w:i w:val="0"/>
                <w:sz w:val="18"/>
              </w:rPr>
              <w:t>外聘教师工资发放次数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E3E8E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CECD4F">
            <w:pPr>
              <w:spacing w:before="0" w:after="0" w:line="240" w:lineRule="auto"/>
              <w:jc w:val="center"/>
            </w:pPr>
            <w:r>
              <w:rPr>
                <w:rFonts w:ascii="宋体" w:hAnsi="宋体" w:eastAsia="宋体"/>
                <w:b w:val="0"/>
                <w:i w:val="0"/>
                <w:sz w:val="18"/>
              </w:rPr>
              <w:t>=11次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14DE06">
            <w:pPr>
              <w:spacing w:before="0" w:after="0" w:line="240" w:lineRule="auto"/>
              <w:jc w:val="center"/>
            </w:pPr>
            <w:r>
              <w:rPr>
                <w:rFonts w:ascii="宋体" w:hAnsi="宋体" w:eastAsia="宋体"/>
                <w:b w:val="0"/>
                <w:i w:val="0"/>
                <w:sz w:val="18"/>
              </w:rPr>
              <w:t>=11次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5C6AC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9723E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9CB88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74745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E83BD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1421C6">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8FEEDA">
            <w:pPr>
              <w:spacing w:before="0" w:after="0" w:line="240" w:lineRule="auto"/>
              <w:jc w:val="center"/>
            </w:pPr>
          </w:p>
        </w:tc>
      </w:tr>
      <w:tr w14:paraId="1E8E2EB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D8A7CD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5A42CE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D282BC">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F027A0">
            <w:pPr>
              <w:spacing w:before="0" w:after="0" w:line="240" w:lineRule="auto"/>
              <w:jc w:val="center"/>
            </w:pPr>
            <w:r>
              <w:rPr>
                <w:rFonts w:ascii="宋体" w:hAnsi="宋体" w:eastAsia="宋体"/>
                <w:b w:val="0"/>
                <w:i w:val="0"/>
                <w:sz w:val="18"/>
              </w:rPr>
              <w:t>外聘人员数量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23FA0B">
            <w:pPr>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DD2B3A">
            <w:pPr>
              <w:spacing w:before="0" w:after="0" w:line="240" w:lineRule="auto"/>
              <w:jc w:val="center"/>
            </w:pPr>
            <w:r>
              <w:rPr>
                <w:rFonts w:ascii="宋体" w:hAnsi="宋体" w:eastAsia="宋体"/>
                <w:b w:val="0"/>
                <w:i w:val="0"/>
                <w:sz w:val="18"/>
              </w:rPr>
              <w:t>=40人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9D40CB">
            <w:pPr>
              <w:spacing w:before="0" w:after="0" w:line="240" w:lineRule="auto"/>
              <w:jc w:val="center"/>
            </w:pPr>
            <w:r>
              <w:rPr>
                <w:rFonts w:ascii="宋体" w:hAnsi="宋体" w:eastAsia="宋体"/>
                <w:b w:val="0"/>
                <w:i w:val="0"/>
                <w:sz w:val="18"/>
              </w:rPr>
              <w:t>=65人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F4CE1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E58737">
            <w:pPr>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CF9E5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58D7C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38F5A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4AFC27">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8ACD12">
            <w:pPr>
              <w:spacing w:before="0" w:after="0" w:line="240" w:lineRule="auto"/>
              <w:jc w:val="center"/>
            </w:pPr>
          </w:p>
        </w:tc>
      </w:tr>
      <w:tr w14:paraId="0D60320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0F1907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1C17C3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A1E19F">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AF2F56">
            <w:pPr>
              <w:spacing w:before="0" w:after="0" w:line="240" w:lineRule="auto"/>
              <w:jc w:val="center"/>
            </w:pPr>
            <w:r>
              <w:rPr>
                <w:rFonts w:ascii="宋体" w:hAnsi="宋体" w:eastAsia="宋体"/>
                <w:b w:val="0"/>
                <w:i w:val="0"/>
                <w:sz w:val="18"/>
              </w:rPr>
              <w:t>课后延时服务达标率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170F4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AF24E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371EA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A64D2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9E0999">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724336">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B0485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A5563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6E8D7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9D241C">
            <w:pPr>
              <w:spacing w:before="0" w:after="0" w:line="240" w:lineRule="auto"/>
              <w:jc w:val="center"/>
            </w:pPr>
          </w:p>
        </w:tc>
      </w:tr>
      <w:tr w14:paraId="415D181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339A255"/>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E0FC0D">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0036CA">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9E5F3E">
            <w:pPr>
              <w:spacing w:before="0" w:after="0" w:line="240" w:lineRule="auto"/>
              <w:jc w:val="center"/>
            </w:pPr>
            <w:r>
              <w:rPr>
                <w:rFonts w:ascii="宋体" w:hAnsi="宋体" w:eastAsia="宋体"/>
                <w:b w:val="0"/>
                <w:i w:val="0"/>
                <w:sz w:val="18"/>
              </w:rPr>
              <w:t>幼儿园餐费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9BE444">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3E4389">
            <w:pPr>
              <w:spacing w:before="0" w:after="0" w:line="240" w:lineRule="auto"/>
              <w:jc w:val="center"/>
            </w:pPr>
            <w:r>
              <w:rPr>
                <w:rFonts w:ascii="宋体" w:hAnsi="宋体" w:eastAsia="宋体"/>
                <w:b w:val="0"/>
                <w:i w:val="0"/>
                <w:sz w:val="18"/>
              </w:rPr>
              <w:t>=15元/人/天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B19B01">
            <w:pPr>
              <w:spacing w:before="0" w:after="0" w:line="240" w:lineRule="auto"/>
              <w:jc w:val="center"/>
            </w:pPr>
            <w:r>
              <w:rPr>
                <w:rFonts w:ascii="宋体" w:hAnsi="宋体" w:eastAsia="宋体"/>
                <w:b w:val="0"/>
                <w:i w:val="0"/>
                <w:sz w:val="18"/>
              </w:rPr>
              <w:t>=15元/人/天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4A6C2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0869F2">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87FEB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1F85BF">
            <w:pPr>
              <w:spacing w:before="0" w:after="0" w:line="240" w:lineRule="auto"/>
              <w:jc w:val="center"/>
            </w:pPr>
            <w:r>
              <w:rPr>
                <w:rFonts w:ascii="宋体" w:hAnsi="宋体" w:eastAsia="宋体"/>
                <w:b w:val="0"/>
                <w:i w:val="0"/>
                <w:sz w:val="18"/>
              </w:rPr>
              <w:t>=15元/人/天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5E210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551A22">
            <w:pPr>
              <w:spacing w:before="0" w:after="0" w:line="240" w:lineRule="auto"/>
              <w:jc w:val="center"/>
            </w:pPr>
            <w:r>
              <w:rPr>
                <w:rFonts w:ascii="宋体" w:hAnsi="宋体" w:eastAsia="宋体"/>
                <w:b w:val="0"/>
                <w:i w:val="0"/>
                <w:sz w:val="18"/>
              </w:rPr>
              <w:t>正式材料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363B42">
            <w:pPr>
              <w:spacing w:before="0" w:after="0" w:line="240" w:lineRule="auto"/>
              <w:jc w:val="center"/>
            </w:pPr>
          </w:p>
        </w:tc>
      </w:tr>
      <w:tr w14:paraId="657A879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D3F193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BF0320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028919">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EEABBC">
            <w:pPr>
              <w:spacing w:before="0" w:after="0" w:line="240" w:lineRule="auto"/>
              <w:jc w:val="center"/>
            </w:pPr>
            <w:r>
              <w:rPr>
                <w:rFonts w:ascii="宋体" w:hAnsi="宋体" w:eastAsia="宋体"/>
                <w:b w:val="0"/>
                <w:i w:val="0"/>
                <w:sz w:val="18"/>
              </w:rPr>
              <w:t>助学金人均金额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FC3E36">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DC3997">
            <w:pPr>
              <w:spacing w:before="0" w:after="0" w:line="240" w:lineRule="auto"/>
              <w:jc w:val="center"/>
            </w:pPr>
            <w:r>
              <w:rPr>
                <w:rFonts w:ascii="宋体" w:hAnsi="宋体" w:eastAsia="宋体"/>
                <w:b w:val="0"/>
                <w:i w:val="0"/>
                <w:sz w:val="18"/>
              </w:rPr>
              <w:t>&lt;=350元/人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9E5D02">
            <w:pPr>
              <w:spacing w:before="0" w:after="0" w:line="240" w:lineRule="auto"/>
              <w:jc w:val="center"/>
            </w:pPr>
            <w:r>
              <w:rPr>
                <w:rFonts w:ascii="宋体" w:hAnsi="宋体" w:eastAsia="宋体"/>
                <w:b w:val="0"/>
                <w:i w:val="0"/>
                <w:sz w:val="18"/>
              </w:rPr>
              <w:t>=171.78元/人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E452C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156AED">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5680A8">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66E1E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2FE4C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3264F0">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0B8EC8">
            <w:pPr>
              <w:spacing w:before="0" w:after="0" w:line="240" w:lineRule="auto"/>
              <w:jc w:val="center"/>
            </w:pPr>
          </w:p>
        </w:tc>
      </w:tr>
      <w:tr w14:paraId="364E5DA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B15612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AC112B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AB29AC">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979CCB">
            <w:pPr>
              <w:spacing w:before="0" w:after="0" w:line="240" w:lineRule="auto"/>
              <w:jc w:val="center"/>
            </w:pPr>
            <w:r>
              <w:rPr>
                <w:rFonts w:ascii="宋体" w:hAnsi="宋体" w:eastAsia="宋体"/>
                <w:b w:val="0"/>
                <w:i w:val="0"/>
                <w:sz w:val="18"/>
              </w:rPr>
              <w:t>课后延时费生均费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15502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04E46B">
            <w:pPr>
              <w:spacing w:before="0" w:after="0" w:line="240" w:lineRule="auto"/>
              <w:jc w:val="center"/>
            </w:pPr>
            <w:r>
              <w:rPr>
                <w:rFonts w:ascii="宋体" w:hAnsi="宋体" w:eastAsia="宋体"/>
                <w:b w:val="0"/>
                <w:i w:val="0"/>
                <w:sz w:val="18"/>
              </w:rPr>
              <w:t>=800元/年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F802F1">
            <w:pPr>
              <w:spacing w:before="0" w:after="0" w:line="240" w:lineRule="auto"/>
              <w:jc w:val="center"/>
            </w:pPr>
            <w:r>
              <w:rPr>
                <w:rFonts w:ascii="宋体" w:hAnsi="宋体" w:eastAsia="宋体"/>
                <w:b w:val="0"/>
                <w:i w:val="0"/>
                <w:sz w:val="18"/>
              </w:rPr>
              <w:t>=800元/年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EE09E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C9E2C7">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6006EC">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3E9D57">
            <w:pPr>
              <w:spacing w:before="0" w:after="0" w:line="240" w:lineRule="auto"/>
              <w:jc w:val="center"/>
            </w:pPr>
            <w:r>
              <w:rPr>
                <w:rFonts w:ascii="宋体" w:hAnsi="宋体" w:eastAsia="宋体"/>
                <w:b w:val="0"/>
                <w:i w:val="0"/>
                <w:sz w:val="18"/>
              </w:rPr>
              <w:t>800元/年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BD48E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AACBDB">
            <w:pPr>
              <w:spacing w:before="0" w:after="0" w:line="240" w:lineRule="auto"/>
              <w:jc w:val="center"/>
            </w:pPr>
            <w:r>
              <w:rPr>
                <w:rFonts w:ascii="宋体" w:hAnsi="宋体" w:eastAsia="宋体"/>
                <w:b w:val="0"/>
                <w:i w:val="0"/>
                <w:sz w:val="18"/>
              </w:rPr>
              <w:t>正式材料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C7B9A8">
            <w:pPr>
              <w:spacing w:before="0" w:after="0" w:line="240" w:lineRule="auto"/>
              <w:jc w:val="center"/>
            </w:pPr>
          </w:p>
        </w:tc>
      </w:tr>
      <w:tr w14:paraId="59DFB6F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89EE51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3CC3A6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4B1B3B">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D67F8D">
            <w:pPr>
              <w:spacing w:before="0" w:after="0" w:line="240" w:lineRule="auto"/>
              <w:jc w:val="center"/>
            </w:pPr>
            <w:r>
              <w:rPr>
                <w:rFonts w:ascii="宋体" w:hAnsi="宋体" w:eastAsia="宋体"/>
                <w:b w:val="0"/>
                <w:i w:val="0"/>
                <w:sz w:val="18"/>
              </w:rPr>
              <w:t>外聘教师月工资平均发放标准额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24B9D4">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2F78E5">
            <w:pPr>
              <w:spacing w:before="0" w:after="0" w:line="240" w:lineRule="auto"/>
              <w:jc w:val="center"/>
            </w:pPr>
            <w:r>
              <w:rPr>
                <w:rFonts w:ascii="宋体" w:hAnsi="宋体" w:eastAsia="宋体"/>
                <w:b w:val="0"/>
                <w:i w:val="0"/>
                <w:sz w:val="18"/>
              </w:rPr>
              <w:t>&gt;=5454元/月/人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7B5E70">
            <w:pPr>
              <w:spacing w:before="0" w:after="0" w:line="240" w:lineRule="auto"/>
              <w:jc w:val="center"/>
            </w:pPr>
            <w:r>
              <w:rPr>
                <w:rFonts w:ascii="宋体" w:hAnsi="宋体" w:eastAsia="宋体"/>
                <w:b w:val="0"/>
                <w:i w:val="0"/>
                <w:sz w:val="18"/>
              </w:rPr>
              <w:t>=4186.05元/月/人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57F697">
            <w:pPr>
              <w:spacing w:before="0" w:after="0" w:line="240" w:lineRule="auto"/>
              <w:jc w:val="center"/>
            </w:pPr>
            <w:r>
              <w:rPr>
                <w:rFonts w:ascii="宋体" w:hAnsi="宋体" w:eastAsia="宋体"/>
                <w:b w:val="0"/>
                <w:i w:val="0"/>
                <w:sz w:val="18"/>
              </w:rPr>
              <w:t>76.75%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A9D590">
            <w:pPr>
              <w:spacing w:before="0" w:after="0" w:line="240" w:lineRule="auto"/>
              <w:jc w:val="center"/>
            </w:pPr>
            <w:r>
              <w:rPr>
                <w:rFonts w:ascii="宋体" w:hAnsi="宋体" w:eastAsia="宋体"/>
                <w:b w:val="0"/>
                <w:i w:val="0"/>
                <w:sz w:val="18"/>
              </w:rPr>
              <w:t>4.19</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7C2BE8">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C806E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5C607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81D0D1">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4BB78E">
            <w:pPr>
              <w:spacing w:before="0" w:after="0" w:line="240" w:lineRule="auto"/>
              <w:jc w:val="center"/>
            </w:pPr>
          </w:p>
        </w:tc>
      </w:tr>
      <w:tr w14:paraId="4154440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1E1CEF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34B35B">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1AF7FB">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E0B571">
            <w:pPr>
              <w:spacing w:before="0" w:after="0" w:line="240" w:lineRule="auto"/>
              <w:jc w:val="center"/>
            </w:pPr>
            <w:r>
              <w:rPr>
                <w:rFonts w:ascii="宋体" w:hAnsi="宋体" w:eastAsia="宋体"/>
                <w:b w:val="0"/>
                <w:i w:val="0"/>
                <w:sz w:val="18"/>
              </w:rPr>
              <w:t>师生满意度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D234C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BF3BA7">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24F7F8">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52B2B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6CAC7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A46852">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BB48A8">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ADD2B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DE32C9">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5A085F">
            <w:pPr>
              <w:spacing w:before="0" w:after="0" w:line="240" w:lineRule="auto"/>
              <w:jc w:val="center"/>
            </w:pPr>
          </w:p>
        </w:tc>
      </w:tr>
      <w:tr w14:paraId="29D031D9">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4D762E0">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8A3F7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0424E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64961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1FD94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CFE015">
            <w:pPr>
              <w:spacing w:before="0" w:after="0" w:line="240" w:lineRule="auto"/>
              <w:jc w:val="center"/>
            </w:pPr>
            <w:r>
              <w:rPr>
                <w:rFonts w:ascii="宋体" w:hAnsi="宋体" w:eastAsia="宋体"/>
                <w:b w:val="0"/>
                <w:i w:val="0"/>
                <w:sz w:val="18"/>
              </w:rPr>
              <w:t>84.19</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0AF1F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09341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BE9B3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45D0B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546CFE">
            <w:pPr>
              <w:spacing w:before="0" w:after="0" w:line="240" w:lineRule="auto"/>
              <w:jc w:val="center"/>
            </w:pPr>
          </w:p>
        </w:tc>
      </w:tr>
    </w:tbl>
    <w:p w14:paraId="0FDF54FC">
      <w:r>
        <w:br w:type="page"/>
      </w:r>
    </w:p>
    <w:p w14:paraId="7A02C5F5">
      <w:pPr>
        <w:sectPr>
          <w:type w:val="continuous"/>
          <w:pgSz w:w="11906" w:h="16838"/>
          <w:pgMar w:top="1440" w:right="1800" w:bottom="1440" w:left="1800" w:header="851" w:footer="992" w:gutter="0"/>
          <w:cols w:space="720" w:num="1"/>
          <w:docGrid w:type="lines" w:linePitch="312" w:charSpace="0"/>
        </w:sectPr>
      </w:pPr>
    </w:p>
    <w:p w14:paraId="7053AF3D">
      <w:pPr>
        <w:spacing w:line="640" w:lineRule="exact"/>
        <w:ind w:firstLine="640"/>
        <w:jc w:val="both"/>
        <w:outlineLvl w:val="2"/>
      </w:pPr>
      <w:r>
        <w:rPr>
          <w:rFonts w:ascii="黑体" w:hAnsi="黑体" w:eastAsia="黑体"/>
          <w:sz w:val="32"/>
        </w:rPr>
        <w:t>十二、其他需说明的事项</w:t>
      </w:r>
    </w:p>
    <w:p w14:paraId="0418349E">
      <w:pPr>
        <w:spacing w:line="580" w:lineRule="exact"/>
        <w:ind w:firstLine="640"/>
        <w:jc w:val="both"/>
      </w:pPr>
      <w:r>
        <w:rPr>
          <w:rFonts w:ascii="仿宋_GB2312" w:hAnsi="仿宋_GB2312" w:eastAsia="仿宋_GB2312"/>
          <w:b w:val="0"/>
          <w:sz w:val="32"/>
        </w:rPr>
        <w:t>本单位无其他需说明的事项。</w:t>
      </w:r>
    </w:p>
    <w:p w14:paraId="37932513">
      <w:r>
        <w:br w:type="page"/>
      </w:r>
    </w:p>
    <w:p w14:paraId="0960E0F9">
      <w:pPr>
        <w:spacing w:line="600" w:lineRule="exact"/>
        <w:jc w:val="center"/>
        <w:outlineLvl w:val="0"/>
      </w:pPr>
      <w:r>
        <w:rPr>
          <w:rFonts w:ascii="黑体" w:hAnsi="黑体" w:eastAsia="黑体"/>
          <w:sz w:val="32"/>
        </w:rPr>
        <w:t>第三部分 专业名词解释</w:t>
      </w:r>
    </w:p>
    <w:p w14:paraId="50B0E71E">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68BC9E3B">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08D6B23">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1CF9D7E2">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57CCABD">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5CB8F808">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4D296218">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3A3CB4F1">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4C99756D">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00064490">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26355EEC">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2264F23D">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29FA4E5F">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41CB3A4F">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7035EF7B">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6791143C">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1BAD8FF1">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7396AA00">
      <w:r>
        <w:br w:type="page"/>
      </w:r>
    </w:p>
    <w:p w14:paraId="2F7ECEC2">
      <w:pPr>
        <w:spacing w:line="240" w:lineRule="auto"/>
        <w:jc w:val="center"/>
        <w:outlineLvl w:val="1"/>
      </w:pPr>
      <w:r>
        <w:rPr>
          <w:rFonts w:ascii="黑体" w:hAnsi="黑体" w:eastAsia="黑体"/>
          <w:sz w:val="32"/>
        </w:rPr>
        <w:t>第四部分 部门决算报表（见附表）</w:t>
      </w:r>
    </w:p>
    <w:p w14:paraId="7F372304">
      <w:pPr>
        <w:autoSpaceDE w:val="0"/>
        <w:autoSpaceDN w:val="0"/>
        <w:spacing w:line="600" w:lineRule="exact"/>
        <w:ind w:firstLine="640" w:firstLineChars="200"/>
      </w:pPr>
      <w:r>
        <w:rPr>
          <w:rFonts w:ascii="仿宋_GB2312" w:hAnsi="仿宋_GB2312" w:eastAsia="仿宋_GB2312"/>
          <w:b w:val="0"/>
          <w:sz w:val="32"/>
        </w:rPr>
        <w:t>一、《收入支出决算总表》</w:t>
      </w:r>
    </w:p>
    <w:p w14:paraId="3FC1D2F1">
      <w:pPr>
        <w:autoSpaceDE w:val="0"/>
        <w:autoSpaceDN w:val="0"/>
        <w:spacing w:line="600" w:lineRule="exact"/>
        <w:ind w:firstLine="640" w:firstLineChars="200"/>
      </w:pPr>
      <w:r>
        <w:rPr>
          <w:rFonts w:ascii="仿宋_GB2312" w:hAnsi="仿宋_GB2312" w:eastAsia="仿宋_GB2312"/>
          <w:b w:val="0"/>
          <w:sz w:val="32"/>
        </w:rPr>
        <w:t>二、《收入决算表》</w:t>
      </w:r>
    </w:p>
    <w:p w14:paraId="61D73143">
      <w:pPr>
        <w:autoSpaceDE w:val="0"/>
        <w:autoSpaceDN w:val="0"/>
        <w:spacing w:line="600" w:lineRule="exact"/>
        <w:ind w:firstLine="640" w:firstLineChars="200"/>
      </w:pPr>
      <w:r>
        <w:rPr>
          <w:rFonts w:ascii="仿宋_GB2312" w:hAnsi="仿宋_GB2312" w:eastAsia="仿宋_GB2312"/>
          <w:b w:val="0"/>
          <w:sz w:val="32"/>
        </w:rPr>
        <w:t>三、《支出决算表》</w:t>
      </w:r>
    </w:p>
    <w:p w14:paraId="75FEDE38">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36177118">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7A895F3A">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40FCD894">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453DB382">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2F80094F">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3732ABC3">
      <w:pPr>
        <w:autoSpaceDE w:val="0"/>
        <w:autoSpaceDN w:val="0"/>
        <w:spacing w:line="600" w:lineRule="exact"/>
        <w:ind w:firstLine="640" w:firstLineChars="200"/>
      </w:pPr>
    </w:p>
    <w:p w14:paraId="74F8F042">
      <w:pPr>
        <w:autoSpaceDE w:val="0"/>
        <w:autoSpaceDN w:val="0"/>
        <w:spacing w:line="600" w:lineRule="exact"/>
        <w:ind w:firstLine="640" w:firstLineChars="200"/>
      </w:pPr>
    </w:p>
    <w:p w14:paraId="5AEF8716">
      <w:pPr>
        <w:autoSpaceDE w:val="0"/>
        <w:autoSpaceDN w:val="0"/>
        <w:spacing w:line="600" w:lineRule="exact"/>
        <w:ind w:firstLine="640" w:firstLineChars="200"/>
      </w:pPr>
    </w:p>
    <w:p w14:paraId="5E5958FB">
      <w:pPr>
        <w:autoSpaceDE w:val="0"/>
        <w:autoSpaceDN w:val="0"/>
        <w:spacing w:line="600" w:lineRule="exact"/>
        <w:ind w:firstLine="640" w:firstLineChars="200"/>
      </w:pPr>
    </w:p>
    <w:p w14:paraId="0AC7F26F">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2C8ABE1-2DB5-4827-A5DF-D1FA92E09E0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10A048D3-2A4B-492E-92B4-376B980D51AF}"/>
  </w:font>
  <w:font w:name="仿宋_GB2312">
    <w:panose1 w:val="02010609030101010101"/>
    <w:charset w:val="86"/>
    <w:family w:val="modern"/>
    <w:pitch w:val="default"/>
    <w:sig w:usb0="00000001" w:usb1="080E0000" w:usb2="00000000" w:usb3="00000000" w:csb0="00040000" w:csb1="00000000"/>
    <w:embedRegular r:id="rId3" w:fontKey="{E081E9B5-25C8-4DB1-8A92-5E8B41627681}"/>
  </w:font>
  <w:font w:name="楷体_GB2312">
    <w:altName w:val="楷体"/>
    <w:panose1 w:val="00000000000000000000"/>
    <w:charset w:val="00"/>
    <w:family w:val="auto"/>
    <w:pitch w:val="default"/>
    <w:sig w:usb0="00000000" w:usb1="00000000" w:usb2="00000000" w:usb3="00000000" w:csb0="00000000" w:csb1="00000000"/>
    <w:embedRegular r:id="rId4" w:fontKey="{10513B9D-AF8D-4EC5-B976-E69744E7B5D5}"/>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5522D7"/>
    <w:rsid w:val="326F0A17"/>
    <w:rsid w:val="34623382"/>
    <w:rsid w:val="35911177"/>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5FC92290"/>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1c84a86e-c97e-47c6-bb9a-208773a3395e}">
  <ds:schemaRefs/>
</ds:datastoreItem>
</file>

<file path=docProps/app.xml><?xml version="1.0" encoding="utf-8"?>
<Properties xmlns="http://schemas.openxmlformats.org/officeDocument/2006/extended-properties" xmlns:vt="http://schemas.openxmlformats.org/officeDocument/2006/docPropsVTypes">
  <Template>Normal.dotm</Template>
  <Pages>19</Pages>
  <Words>6520</Words>
  <Characters>7511</Characters>
  <Lines>10</Lines>
  <Paragraphs>2</Paragraphs>
  <TotalTime>0</TotalTime>
  <ScaleCrop>false</ScaleCrop>
  <LinksUpToDate>false</LinksUpToDate>
  <CharactersWithSpaces>7521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U</cp:lastModifiedBy>
  <cp:lastPrinted>2024-07-22T11:58:00Z</cp:lastPrinted>
  <dcterms:modified xsi:type="dcterms:W3CDTF">2026-09-01T10:20:56Z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eyJoZGlkIjoiMzEwNTM5NzYwMDRjMzkwZTVkZjY2ODkwMGIxNGU0OTUiLCJ1c2VySWQiOiIyNDE2NzgwOTkifQ==</vt:lpwstr>
  </property>
</Properties>
</file>