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新疆维吾尔自治区教育科学研究院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78119F3">
      <w:r>
        <w:br w:type="page"/>
      </w:r>
    </w:p>
    <w:p w14:paraId="797F980A">
      <w:pPr>
        <w:spacing w:line="640" w:lineRule="exact"/>
        <w:jc w:val="center"/>
        <w:outlineLvl w:val="1"/>
      </w:pPr>
      <w:r>
        <w:rPr>
          <w:rFonts w:ascii="黑体" w:hAnsi="黑体" w:eastAsia="黑体"/>
          <w:sz w:val="32"/>
        </w:rPr>
        <w:t>第一部分 单位概况</w:t>
      </w:r>
    </w:p>
    <w:p w14:paraId="153FD0B8">
      <w:pPr>
        <w:spacing w:line="640" w:lineRule="exact"/>
        <w:ind w:firstLine="640"/>
        <w:jc w:val="both"/>
        <w:outlineLvl w:val="2"/>
      </w:pPr>
      <w:r>
        <w:rPr>
          <w:rFonts w:ascii="黑体" w:hAnsi="黑体" w:eastAsia="黑体"/>
          <w:sz w:val="32"/>
        </w:rPr>
        <w:t>一、主要职能</w:t>
      </w:r>
    </w:p>
    <w:p w14:paraId="046F3D49">
      <w:pPr>
        <w:spacing w:line="580" w:lineRule="exact"/>
        <w:ind w:firstLine="640"/>
        <w:jc w:val="both"/>
      </w:pPr>
      <w:r>
        <w:rPr>
          <w:rFonts w:ascii="仿宋_GB2312" w:hAnsi="仿宋_GB2312" w:eastAsia="仿宋_GB2312"/>
          <w:sz w:val="32"/>
        </w:rPr>
        <w:t>新疆教育科学研究院是新疆维吾尔自治区教育厅直属全额拨款事业单位，其前身为新疆教育科学研究所（新疆教育教学研究室）新疆教育科学研究所成立于1984年5月（新疆教育教学研究室成立于1992年），2012年7月经新疆维吾尔自治区党委编办批准正式更名为新疆教育科学研究院。主要职责为：承担基础教育教学理论的研究、实验、教学指导工作和中等职业教育教学研究工作，承担全区自编（地方）课程教材的研究开发等工作。</w:t>
      </w:r>
    </w:p>
    <w:p w14:paraId="19A8E55E">
      <w:pPr>
        <w:spacing w:line="640" w:lineRule="exact"/>
        <w:ind w:firstLine="640"/>
        <w:jc w:val="both"/>
        <w:outlineLvl w:val="2"/>
      </w:pPr>
      <w:r>
        <w:rPr>
          <w:rFonts w:ascii="黑体" w:hAnsi="黑体" w:eastAsia="黑体"/>
          <w:sz w:val="32"/>
        </w:rPr>
        <w:t>二、机构设置</w:t>
      </w:r>
    </w:p>
    <w:p w14:paraId="361F63F8">
      <w:pPr>
        <w:spacing w:line="580" w:lineRule="exact"/>
        <w:ind w:firstLine="640"/>
        <w:jc w:val="both"/>
      </w:pPr>
      <w:r>
        <w:rPr>
          <w:rFonts w:ascii="仿宋_GB2312" w:hAnsi="仿宋_GB2312" w:eastAsia="仿宋_GB2312"/>
          <w:sz w:val="32"/>
        </w:rPr>
        <w:t>新疆维吾尔自治区教育科学研究院无下属预算单位。</w:t>
      </w:r>
    </w:p>
    <w:p w14:paraId="458C90CF">
      <w:r>
        <w:br w:type="page"/>
      </w:r>
    </w:p>
    <w:p w14:paraId="2EAF44AC">
      <w:pPr>
        <w:spacing w:line="240" w:lineRule="auto"/>
        <w:jc w:val="center"/>
        <w:outlineLvl w:val="1"/>
      </w:pPr>
      <w:r>
        <w:rPr>
          <w:rFonts w:ascii="黑体" w:hAnsi="黑体" w:eastAsia="黑体"/>
          <w:sz w:val="32"/>
        </w:rPr>
        <w:t>第二部分 部门决算情况说明</w:t>
      </w:r>
    </w:p>
    <w:p w14:paraId="269C4FA9">
      <w:pPr>
        <w:spacing w:line="640" w:lineRule="exact"/>
        <w:ind w:firstLine="640"/>
        <w:jc w:val="both"/>
        <w:outlineLvl w:val="2"/>
      </w:pPr>
      <w:r>
        <w:rPr>
          <w:rFonts w:ascii="黑体" w:hAnsi="黑体" w:eastAsia="黑体"/>
          <w:sz w:val="32"/>
        </w:rPr>
        <w:t>一、收入支出决算总体情况说明</w:t>
      </w:r>
    </w:p>
    <w:p w14:paraId="569F4102">
      <w:pPr>
        <w:spacing w:line="580" w:lineRule="exact"/>
        <w:ind w:firstLine="640"/>
        <w:jc w:val="both"/>
      </w:pPr>
      <w:r>
        <w:rPr>
          <w:rFonts w:ascii="仿宋_GB2312" w:hAnsi="仿宋_GB2312" w:eastAsia="仿宋_GB2312"/>
          <w:b/>
          <w:sz w:val="32"/>
        </w:rPr>
        <w:t>2025年度收入总计2,620.85万元，</w:t>
      </w:r>
      <w:r>
        <w:rPr>
          <w:rFonts w:ascii="仿宋_GB2312" w:hAnsi="仿宋_GB2312" w:eastAsia="仿宋_GB2312"/>
          <w:b w:val="0"/>
          <w:sz w:val="32"/>
        </w:rPr>
        <w:t>其中：本年收入合计2,122.14万元，使用非财政拨款结余（含专用结余）0.00万元，年初结转和结余498.72万元。</w:t>
      </w:r>
    </w:p>
    <w:p w14:paraId="559F9A99">
      <w:pPr>
        <w:spacing w:line="580" w:lineRule="exact"/>
        <w:ind w:firstLine="640"/>
        <w:jc w:val="both"/>
      </w:pPr>
      <w:r>
        <w:rPr>
          <w:rFonts w:ascii="仿宋_GB2312" w:hAnsi="仿宋_GB2312" w:eastAsia="仿宋_GB2312"/>
          <w:b/>
          <w:sz w:val="32"/>
        </w:rPr>
        <w:t>2025年度支出总计2,620.85万元，</w:t>
      </w:r>
      <w:r>
        <w:rPr>
          <w:rFonts w:ascii="仿宋_GB2312" w:hAnsi="仿宋_GB2312" w:eastAsia="仿宋_GB2312"/>
          <w:b w:val="0"/>
          <w:sz w:val="32"/>
        </w:rPr>
        <w:t>其中：本年支出合计2,243.99万元，结余分配0.00万元，年末结转和结余376.86万元。</w:t>
      </w:r>
    </w:p>
    <w:p w14:paraId="41CFC82C">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增加420.85万元，增长19.13%，主要原因是：本年在职人员增加，在职人员工资调增、社保、公积金基数调增，人员经费增加，新增</w:t>
      </w:r>
      <w:r>
        <w:rPr>
          <w:rFonts w:hint="eastAsia" w:ascii="仿宋_GB2312" w:hAnsi="仿宋_GB2312" w:eastAsia="仿宋_GB2312"/>
          <w:b w:val="0"/>
          <w:sz w:val="32"/>
          <w:lang w:eastAsia="zh-CN"/>
        </w:rPr>
        <w:t>“</w:t>
      </w:r>
      <w:r>
        <w:rPr>
          <w:rFonts w:ascii="仿宋_GB2312" w:hAnsi="仿宋_GB2312" w:eastAsia="仿宋_GB2312"/>
          <w:b w:val="0"/>
          <w:sz w:val="32"/>
        </w:rPr>
        <w:t>天山英才</w:t>
      </w:r>
      <w:r>
        <w:rPr>
          <w:rFonts w:hint="eastAsia" w:ascii="仿宋_GB2312" w:hAnsi="仿宋_GB2312" w:eastAsia="仿宋_GB2312"/>
          <w:b w:val="0"/>
          <w:sz w:val="32"/>
          <w:lang w:eastAsia="zh-CN"/>
        </w:rPr>
        <w:t>”</w:t>
      </w:r>
      <w:r>
        <w:rPr>
          <w:rFonts w:ascii="仿宋_GB2312" w:hAnsi="仿宋_GB2312" w:eastAsia="仿宋_GB2312"/>
          <w:b w:val="0"/>
          <w:sz w:val="32"/>
        </w:rPr>
        <w:t>专项项目。</w:t>
      </w:r>
    </w:p>
    <w:p w14:paraId="77BD0417">
      <w:pPr>
        <w:spacing w:line="640" w:lineRule="exact"/>
        <w:ind w:firstLine="640"/>
        <w:jc w:val="both"/>
        <w:outlineLvl w:val="2"/>
      </w:pPr>
      <w:r>
        <w:rPr>
          <w:rFonts w:ascii="黑体" w:hAnsi="黑体" w:eastAsia="黑体"/>
          <w:sz w:val="32"/>
        </w:rPr>
        <w:t>二、收入决算情况说明</w:t>
      </w:r>
    </w:p>
    <w:p w14:paraId="45959FC4">
      <w:pPr>
        <w:spacing w:line="580" w:lineRule="exact"/>
        <w:ind w:firstLine="640"/>
        <w:jc w:val="both"/>
      </w:pPr>
      <w:r>
        <w:rPr>
          <w:rFonts w:ascii="仿宋_GB2312" w:hAnsi="仿宋_GB2312" w:eastAsia="仿宋_GB2312"/>
          <w:b/>
          <w:sz w:val="32"/>
        </w:rPr>
        <w:t>本年收入2,122.14万元，</w:t>
      </w:r>
      <w:r>
        <w:rPr>
          <w:rFonts w:ascii="仿宋_GB2312" w:hAnsi="仿宋_GB2312" w:eastAsia="仿宋_GB2312"/>
          <w:b w:val="0"/>
          <w:sz w:val="32"/>
        </w:rPr>
        <w:t>其中：财政拨款收入1,823.42万元，占85.92%；上级补助收入0.00万元，占0.00%；事业收入0.00万元，占0.00%；经营收入0.00万元，占0.00%；附属单位上缴收入0.00万元，占0.00%；其他收入298.71万元，占14.08%。</w:t>
      </w:r>
    </w:p>
    <w:p w14:paraId="7EF43830">
      <w:pPr>
        <w:spacing w:line="640" w:lineRule="exact"/>
        <w:ind w:firstLine="640"/>
        <w:jc w:val="both"/>
        <w:outlineLvl w:val="2"/>
      </w:pPr>
      <w:r>
        <w:rPr>
          <w:rFonts w:ascii="黑体" w:hAnsi="黑体" w:eastAsia="黑体"/>
          <w:sz w:val="32"/>
        </w:rPr>
        <w:t>三、支出决算情况说明</w:t>
      </w:r>
    </w:p>
    <w:p w14:paraId="08641DD2">
      <w:pPr>
        <w:spacing w:line="580" w:lineRule="exact"/>
        <w:ind w:firstLine="640"/>
        <w:jc w:val="both"/>
      </w:pPr>
      <w:r>
        <w:rPr>
          <w:rFonts w:ascii="仿宋_GB2312" w:hAnsi="仿宋_GB2312" w:eastAsia="仿宋_GB2312"/>
          <w:b/>
          <w:sz w:val="32"/>
        </w:rPr>
        <w:t>本年支出2,243.99万元，</w:t>
      </w:r>
      <w:r>
        <w:rPr>
          <w:rFonts w:ascii="仿宋_GB2312" w:hAnsi="仿宋_GB2312" w:eastAsia="仿宋_GB2312"/>
          <w:b w:val="0"/>
          <w:sz w:val="32"/>
        </w:rPr>
        <w:t>其中：基本支出1,469.98万元，占65.51%；项目支出774.01万元，占34.49%；上缴上级支出0.00万元，占0.00%；经营支出0.00万元，占0.00%；对附属单位补助支出0.00万元，占0.00%。</w:t>
      </w:r>
    </w:p>
    <w:p w14:paraId="09A9C7C0">
      <w:pPr>
        <w:spacing w:line="640" w:lineRule="exact"/>
        <w:ind w:firstLine="640"/>
        <w:jc w:val="both"/>
        <w:outlineLvl w:val="2"/>
      </w:pPr>
      <w:r>
        <w:rPr>
          <w:rFonts w:ascii="黑体" w:hAnsi="黑体" w:eastAsia="黑体"/>
          <w:sz w:val="32"/>
        </w:rPr>
        <w:t>四、财政拨款收入支出决算总体情况说明</w:t>
      </w:r>
    </w:p>
    <w:p w14:paraId="4E8B954B">
      <w:pPr>
        <w:spacing w:line="580" w:lineRule="exact"/>
        <w:ind w:firstLine="640"/>
        <w:jc w:val="both"/>
      </w:pPr>
      <w:r>
        <w:rPr>
          <w:rFonts w:ascii="仿宋_GB2312" w:hAnsi="仿宋_GB2312" w:eastAsia="仿宋_GB2312"/>
          <w:b/>
          <w:sz w:val="32"/>
        </w:rPr>
        <w:t>2025年度财政拨款收入总计1,823.42万元，</w:t>
      </w:r>
      <w:r>
        <w:rPr>
          <w:rFonts w:ascii="仿宋_GB2312" w:hAnsi="仿宋_GB2312" w:eastAsia="仿宋_GB2312"/>
          <w:b w:val="0"/>
          <w:sz w:val="32"/>
        </w:rPr>
        <w:t>其中：年初财政拨款结转和结余0.00万元，本年财政拨款收入1,823.42万元。</w:t>
      </w:r>
      <w:r>
        <w:rPr>
          <w:rFonts w:ascii="仿宋_GB2312" w:hAnsi="仿宋_GB2312" w:eastAsia="仿宋_GB2312"/>
          <w:b/>
          <w:sz w:val="32"/>
        </w:rPr>
        <w:t>财政拨款支出总计1,823.42万元，</w:t>
      </w:r>
      <w:r>
        <w:rPr>
          <w:rFonts w:ascii="仿宋_GB2312" w:hAnsi="仿宋_GB2312" w:eastAsia="仿宋_GB2312"/>
          <w:b w:val="0"/>
          <w:sz w:val="32"/>
        </w:rPr>
        <w:t>其中：年末财政拨款结转和结余0.00万元，本年财政拨款支出1,823.42万元。</w:t>
      </w:r>
    </w:p>
    <w:p w14:paraId="6B32479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增加257.43万元，增长16.44%，主要原因是：本年在职人员增加，在职人员工资调增、社保、公积金基数调增，人员经费增加，新增</w:t>
      </w:r>
      <w:r>
        <w:rPr>
          <w:rFonts w:hint="eastAsia" w:ascii="仿宋_GB2312" w:hAnsi="仿宋_GB2312" w:eastAsia="仿宋_GB2312"/>
          <w:b w:val="0"/>
          <w:sz w:val="32"/>
          <w:lang w:eastAsia="zh-CN"/>
        </w:rPr>
        <w:t>“</w:t>
      </w:r>
      <w:r>
        <w:rPr>
          <w:rFonts w:ascii="仿宋_GB2312" w:hAnsi="仿宋_GB2312" w:eastAsia="仿宋_GB2312"/>
          <w:b w:val="0"/>
          <w:sz w:val="32"/>
        </w:rPr>
        <w:t>天山英才</w:t>
      </w:r>
      <w:r>
        <w:rPr>
          <w:rFonts w:hint="eastAsia" w:ascii="仿宋_GB2312" w:hAnsi="仿宋_GB2312" w:eastAsia="仿宋_GB2312"/>
          <w:b w:val="0"/>
          <w:sz w:val="32"/>
          <w:lang w:eastAsia="zh-CN"/>
        </w:rPr>
        <w:t>”</w:t>
      </w:r>
      <w:r>
        <w:rPr>
          <w:rFonts w:ascii="仿宋_GB2312" w:hAnsi="仿宋_GB2312" w:eastAsia="仿宋_GB2312"/>
          <w:b w:val="0"/>
          <w:sz w:val="32"/>
        </w:rPr>
        <w:t>专项项目。</w:t>
      </w:r>
      <w:r>
        <w:rPr>
          <w:rFonts w:ascii="仿宋_GB2312" w:hAnsi="仿宋_GB2312" w:eastAsia="仿宋_GB2312"/>
          <w:b/>
          <w:sz w:val="32"/>
        </w:rPr>
        <w:t>与年初预算相比，</w:t>
      </w:r>
      <w:r>
        <w:rPr>
          <w:rFonts w:ascii="仿宋_GB2312" w:hAnsi="仿宋_GB2312" w:eastAsia="仿宋_GB2312"/>
          <w:b w:val="0"/>
          <w:sz w:val="32"/>
        </w:rPr>
        <w:t>年初预算数1,583.09万元，决算数1,823.42万元，预决算差异率15.18%，主要原因是：本年合并事业单位“评估中心”，在职人员增加，年中追加人员经费及人员工资、社保、公积金基数调增部分资金，导致预决算存在差异。</w:t>
      </w:r>
    </w:p>
    <w:p w14:paraId="03DC6888">
      <w:pPr>
        <w:spacing w:line="640" w:lineRule="exact"/>
        <w:ind w:firstLine="640"/>
        <w:jc w:val="both"/>
        <w:outlineLvl w:val="2"/>
      </w:pPr>
      <w:r>
        <w:rPr>
          <w:rFonts w:ascii="黑体" w:hAnsi="黑体" w:eastAsia="黑体"/>
          <w:sz w:val="32"/>
        </w:rPr>
        <w:t>五、一般公共预算财政拨款支出决算情况说明</w:t>
      </w:r>
    </w:p>
    <w:p w14:paraId="71122A59">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基础教育教学理论的研究、实验、教学指导工作和中等职业教育教学研究工作等重点支出，体现在有关支出科目中。</w:t>
      </w:r>
    </w:p>
    <w:p w14:paraId="25FAFC83">
      <w:pPr>
        <w:spacing w:line="580" w:lineRule="exact"/>
        <w:ind w:firstLine="640"/>
        <w:jc w:val="both"/>
      </w:pPr>
      <w:r>
        <w:rPr>
          <w:rFonts w:ascii="仿宋_GB2312" w:hAnsi="仿宋_GB2312" w:eastAsia="仿宋_GB2312"/>
          <w:b w:val="0"/>
          <w:sz w:val="32"/>
        </w:rPr>
        <w:t>按照支出功能分类，教育支出（类）其他教育支出（款）其他教育支出（项）的支出占本年财政拨款支出总额的比重最高，2025年度决算数为1,823.42万元，占比100.00%，主要用于人员工资福利支出、日常公用经费。</w:t>
      </w:r>
    </w:p>
    <w:p w14:paraId="380C98E1">
      <w:pPr>
        <w:spacing w:line="640" w:lineRule="exact"/>
        <w:ind w:firstLine="640"/>
        <w:jc w:val="both"/>
        <w:outlineLvl w:val="3"/>
      </w:pPr>
      <w:r>
        <w:rPr>
          <w:rFonts w:ascii="楷体_GB2312" w:hAnsi="楷体_GB2312" w:eastAsia="楷体_GB2312"/>
          <w:b/>
          <w:sz w:val="32"/>
        </w:rPr>
        <w:t>（一）一般公共预算财政拨款支出决算总体情况</w:t>
      </w:r>
    </w:p>
    <w:p w14:paraId="19BB8EDA">
      <w:pPr>
        <w:spacing w:line="580" w:lineRule="exact"/>
        <w:ind w:firstLine="640"/>
        <w:jc w:val="both"/>
      </w:pPr>
      <w:r>
        <w:rPr>
          <w:rFonts w:ascii="仿宋_GB2312" w:hAnsi="仿宋_GB2312" w:eastAsia="仿宋_GB2312"/>
          <w:b/>
          <w:sz w:val="32"/>
        </w:rPr>
        <w:t>2025年度一般公共预算财政拨款支出1,823.42万元，</w:t>
      </w:r>
      <w:r>
        <w:rPr>
          <w:rFonts w:ascii="仿宋_GB2312" w:hAnsi="仿宋_GB2312" w:eastAsia="仿宋_GB2312"/>
          <w:b w:val="0"/>
          <w:sz w:val="32"/>
        </w:rPr>
        <w:t>占本年支出合计的81.26%。</w:t>
      </w:r>
      <w:r>
        <w:rPr>
          <w:rFonts w:ascii="仿宋_GB2312" w:hAnsi="仿宋_GB2312" w:eastAsia="仿宋_GB2312"/>
          <w:b/>
          <w:sz w:val="32"/>
        </w:rPr>
        <w:t>与上年相比，</w:t>
      </w:r>
      <w:r>
        <w:rPr>
          <w:rFonts w:ascii="仿宋_GB2312" w:hAnsi="仿宋_GB2312" w:eastAsia="仿宋_GB2312"/>
          <w:b w:val="0"/>
          <w:sz w:val="32"/>
        </w:rPr>
        <w:t>增加257.43万元，增长16.44%，主要原因是：本年在职人员增加，在职人员工资调增、社保、公积金基数调增，人员经费增加，新增</w:t>
      </w:r>
      <w:r>
        <w:rPr>
          <w:rFonts w:hint="eastAsia" w:ascii="仿宋_GB2312" w:hAnsi="仿宋_GB2312" w:eastAsia="仿宋_GB2312"/>
          <w:b w:val="0"/>
          <w:sz w:val="32"/>
          <w:lang w:eastAsia="zh-CN"/>
        </w:rPr>
        <w:t>“</w:t>
      </w:r>
      <w:r>
        <w:rPr>
          <w:rFonts w:ascii="仿宋_GB2312" w:hAnsi="仿宋_GB2312" w:eastAsia="仿宋_GB2312"/>
          <w:b w:val="0"/>
          <w:sz w:val="32"/>
        </w:rPr>
        <w:t>天山英才</w:t>
      </w:r>
      <w:r>
        <w:rPr>
          <w:rFonts w:hint="eastAsia" w:ascii="仿宋_GB2312" w:hAnsi="仿宋_GB2312" w:eastAsia="仿宋_GB2312"/>
          <w:b w:val="0"/>
          <w:sz w:val="32"/>
          <w:lang w:eastAsia="zh-CN"/>
        </w:rPr>
        <w:t>”</w:t>
      </w:r>
      <w:r>
        <w:rPr>
          <w:rFonts w:ascii="仿宋_GB2312" w:hAnsi="仿宋_GB2312" w:eastAsia="仿宋_GB2312"/>
          <w:b w:val="0"/>
          <w:sz w:val="32"/>
        </w:rPr>
        <w:t>专项项目。</w:t>
      </w:r>
      <w:r>
        <w:rPr>
          <w:rFonts w:ascii="仿宋_GB2312" w:hAnsi="仿宋_GB2312" w:eastAsia="仿宋_GB2312"/>
          <w:b/>
          <w:sz w:val="32"/>
        </w:rPr>
        <w:t>与年初预算相比，</w:t>
      </w:r>
      <w:r>
        <w:rPr>
          <w:rFonts w:ascii="仿宋_GB2312" w:hAnsi="仿宋_GB2312" w:eastAsia="仿宋_GB2312"/>
          <w:b w:val="0"/>
          <w:sz w:val="32"/>
        </w:rPr>
        <w:t>年初预算数1,583.09万元，决算数1,823.42万元，预决算差异率15.18%，主要原因是：本年合并事业单位“评估中心”，在职人员增加，年中追加人员经费及人员工资、社保、公积金基数调增部分资金，导致预决算存在差异。</w:t>
      </w:r>
    </w:p>
    <w:p w14:paraId="4FF92928">
      <w:pPr>
        <w:spacing w:line="640" w:lineRule="exact"/>
        <w:ind w:firstLine="640"/>
        <w:jc w:val="both"/>
        <w:outlineLvl w:val="3"/>
      </w:pPr>
      <w:r>
        <w:rPr>
          <w:rFonts w:ascii="楷体_GB2312" w:hAnsi="楷体_GB2312" w:eastAsia="楷体_GB2312"/>
          <w:b/>
          <w:sz w:val="32"/>
        </w:rPr>
        <w:t>（二）一般公共预算财政拨款支出决算结构情况</w:t>
      </w:r>
    </w:p>
    <w:p w14:paraId="05C6A618">
      <w:pPr>
        <w:spacing w:line="580" w:lineRule="exact"/>
        <w:ind w:firstLine="640"/>
        <w:jc w:val="both"/>
      </w:pPr>
      <w:r>
        <w:rPr>
          <w:rFonts w:ascii="仿宋_GB2312" w:hAnsi="仿宋_GB2312" w:eastAsia="仿宋_GB2312"/>
          <w:b w:val="0"/>
          <w:sz w:val="32"/>
        </w:rPr>
        <w:t>1.教育支出（类）1,823.42万元，占100.00%。</w:t>
      </w:r>
    </w:p>
    <w:p w14:paraId="7292C17F">
      <w:pPr>
        <w:spacing w:line="640" w:lineRule="exact"/>
        <w:ind w:firstLine="640"/>
        <w:jc w:val="both"/>
        <w:outlineLvl w:val="3"/>
      </w:pPr>
      <w:r>
        <w:rPr>
          <w:rFonts w:ascii="楷体_GB2312" w:hAnsi="楷体_GB2312" w:eastAsia="楷体_GB2312"/>
          <w:b/>
          <w:sz w:val="32"/>
        </w:rPr>
        <w:t>（三）一般公共预算财政拨款支出决算具体情况</w:t>
      </w:r>
    </w:p>
    <w:p w14:paraId="117A5039">
      <w:pPr>
        <w:spacing w:line="580" w:lineRule="exact"/>
        <w:ind w:firstLine="640"/>
        <w:jc w:val="both"/>
      </w:pPr>
      <w:r>
        <w:rPr>
          <w:rFonts w:ascii="仿宋_GB2312" w:hAnsi="仿宋_GB2312" w:eastAsia="仿宋_GB2312"/>
          <w:b w:val="0"/>
          <w:sz w:val="32"/>
        </w:rPr>
        <w:t>1.教育支出（类）其他教育支出（款）其他教育支出（项）：支出决算数为1,823.42万元，比上年决算增加257.43万元，增长16.44%，主要原因是：本年在职人员增加，在职人员工资调增、社保、公积金基数调增，人员经费增加，新增</w:t>
      </w:r>
      <w:r>
        <w:rPr>
          <w:rFonts w:hint="eastAsia" w:ascii="仿宋_GB2312" w:hAnsi="仿宋_GB2312" w:eastAsia="仿宋_GB2312"/>
          <w:b w:val="0"/>
          <w:sz w:val="32"/>
          <w:lang w:eastAsia="zh-CN"/>
        </w:rPr>
        <w:t>“</w:t>
      </w:r>
      <w:r>
        <w:rPr>
          <w:rFonts w:ascii="仿宋_GB2312" w:hAnsi="仿宋_GB2312" w:eastAsia="仿宋_GB2312"/>
          <w:b w:val="0"/>
          <w:sz w:val="32"/>
        </w:rPr>
        <w:t>天山英才</w:t>
      </w:r>
      <w:r>
        <w:rPr>
          <w:rFonts w:hint="eastAsia" w:ascii="仿宋_GB2312" w:hAnsi="仿宋_GB2312" w:eastAsia="仿宋_GB2312"/>
          <w:b w:val="0"/>
          <w:sz w:val="32"/>
          <w:lang w:eastAsia="zh-CN"/>
        </w:rPr>
        <w:t>”</w:t>
      </w:r>
      <w:r>
        <w:rPr>
          <w:rFonts w:ascii="仿宋_GB2312" w:hAnsi="仿宋_GB2312" w:eastAsia="仿宋_GB2312"/>
          <w:b w:val="0"/>
          <w:sz w:val="32"/>
        </w:rPr>
        <w:t>专项项目。</w:t>
      </w:r>
    </w:p>
    <w:p w14:paraId="1D0BEAEB">
      <w:pPr>
        <w:spacing w:line="640" w:lineRule="exact"/>
        <w:ind w:firstLine="640"/>
        <w:jc w:val="both"/>
        <w:outlineLvl w:val="2"/>
      </w:pPr>
      <w:r>
        <w:rPr>
          <w:rFonts w:ascii="黑体" w:hAnsi="黑体" w:eastAsia="黑体"/>
          <w:sz w:val="32"/>
        </w:rPr>
        <w:t>六、一般公共预算财政拨款基本支出决算情况说明</w:t>
      </w:r>
    </w:p>
    <w:p w14:paraId="11240C7B">
      <w:pPr>
        <w:spacing w:line="580" w:lineRule="exact"/>
        <w:ind w:firstLine="640"/>
        <w:jc w:val="both"/>
      </w:pPr>
      <w:r>
        <w:rPr>
          <w:rFonts w:ascii="仿宋_GB2312" w:hAnsi="仿宋_GB2312" w:eastAsia="仿宋_GB2312"/>
          <w:b w:val="0"/>
          <w:sz w:val="32"/>
        </w:rPr>
        <w:t>2025年度一般公共预算财政拨款基本支出1,469.98万元，其中：</w:t>
      </w:r>
      <w:r>
        <w:rPr>
          <w:rFonts w:ascii="仿宋_GB2312" w:hAnsi="仿宋_GB2312" w:eastAsia="仿宋_GB2312"/>
          <w:b/>
          <w:sz w:val="32"/>
        </w:rPr>
        <w:t>人员经费1,390.87万元，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医疗费补助。</w:t>
      </w:r>
    </w:p>
    <w:p w14:paraId="07D053CB">
      <w:pPr>
        <w:spacing w:line="580" w:lineRule="exact"/>
        <w:ind w:firstLine="640"/>
        <w:jc w:val="both"/>
      </w:pPr>
      <w:r>
        <w:rPr>
          <w:rFonts w:ascii="仿宋_GB2312" w:hAnsi="仿宋_GB2312" w:eastAsia="仿宋_GB2312"/>
          <w:b/>
          <w:sz w:val="32"/>
        </w:rPr>
        <w:t>公用经费79.11万元，</w:t>
      </w:r>
      <w:r>
        <w:rPr>
          <w:rFonts w:ascii="仿宋_GB2312" w:hAnsi="仿宋_GB2312" w:eastAsia="仿宋_GB2312"/>
          <w:b w:val="0"/>
          <w:sz w:val="32"/>
        </w:rPr>
        <w:t>包括：办公费、手续费、电费、邮电费、取暖费、物业管理费、差旅费、工会经费、福利费、其他交通费用。</w:t>
      </w:r>
    </w:p>
    <w:p w14:paraId="7A7565AF">
      <w:pPr>
        <w:spacing w:line="640" w:lineRule="exact"/>
        <w:ind w:firstLine="640"/>
        <w:jc w:val="both"/>
        <w:outlineLvl w:val="2"/>
      </w:pPr>
      <w:r>
        <w:rPr>
          <w:rFonts w:ascii="黑体" w:hAnsi="黑体" w:eastAsia="黑体"/>
          <w:sz w:val="32"/>
        </w:rPr>
        <w:t>七、政府性基金预算财政拨款收入支出决算情况说明</w:t>
      </w:r>
    </w:p>
    <w:p w14:paraId="4627193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3B2E131">
      <w:pPr>
        <w:spacing w:line="640" w:lineRule="exact"/>
        <w:ind w:firstLine="640"/>
        <w:jc w:val="both"/>
        <w:outlineLvl w:val="2"/>
      </w:pPr>
      <w:r>
        <w:rPr>
          <w:rFonts w:ascii="黑体" w:hAnsi="黑体" w:eastAsia="黑体"/>
          <w:sz w:val="32"/>
        </w:rPr>
        <w:t>八、国有资本经营预算财政拨款收入支出决算情况说明</w:t>
      </w:r>
    </w:p>
    <w:p w14:paraId="4CCB9B1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4877B5C">
      <w:pPr>
        <w:spacing w:line="640" w:lineRule="exact"/>
        <w:ind w:firstLine="640"/>
        <w:jc w:val="both"/>
        <w:outlineLvl w:val="2"/>
      </w:pPr>
      <w:r>
        <w:rPr>
          <w:rFonts w:ascii="黑体" w:hAnsi="黑体" w:eastAsia="黑体"/>
          <w:sz w:val="32"/>
        </w:rPr>
        <w:t>九、财政拨款“三公”经费支出决算情况说明</w:t>
      </w:r>
    </w:p>
    <w:p w14:paraId="18D49C66">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3CED1885">
      <w:pPr>
        <w:spacing w:line="580" w:lineRule="exact"/>
        <w:ind w:firstLine="640"/>
        <w:jc w:val="both"/>
      </w:pPr>
      <w:r>
        <w:rPr>
          <w:rFonts w:ascii="仿宋_GB2312" w:hAnsi="仿宋_GB2312" w:eastAsia="仿宋_GB2312"/>
          <w:b/>
          <w:sz w:val="32"/>
        </w:rPr>
        <w:t>具体情况如下：</w:t>
      </w:r>
    </w:p>
    <w:p w14:paraId="20014080">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D2B473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单位业务用车，车辆费用未使用财政拨款公务用车运行维护费支付，由自有经费保障。</w:t>
      </w:r>
    </w:p>
    <w:p w14:paraId="79AFA54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FF8A40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60181F7">
      <w:pPr>
        <w:spacing w:line="640" w:lineRule="exact"/>
        <w:ind w:firstLine="640"/>
        <w:jc w:val="both"/>
        <w:outlineLvl w:val="2"/>
      </w:pPr>
      <w:r>
        <w:rPr>
          <w:rFonts w:ascii="黑体" w:hAnsi="黑体" w:eastAsia="黑体"/>
          <w:sz w:val="32"/>
        </w:rPr>
        <w:t>十、其他重要事项的情况说明</w:t>
      </w:r>
    </w:p>
    <w:p w14:paraId="5215DECB">
      <w:pPr>
        <w:spacing w:line="640" w:lineRule="exact"/>
        <w:ind w:firstLine="640"/>
        <w:jc w:val="both"/>
        <w:outlineLvl w:val="3"/>
      </w:pPr>
      <w:r>
        <w:rPr>
          <w:rFonts w:ascii="楷体_GB2312" w:hAnsi="楷体_GB2312" w:eastAsia="楷体_GB2312"/>
          <w:b/>
          <w:sz w:val="32"/>
        </w:rPr>
        <w:t>（一）机关运行经费及公用经费支出情况</w:t>
      </w:r>
    </w:p>
    <w:p w14:paraId="0FAC0F87">
      <w:pPr>
        <w:spacing w:line="580" w:lineRule="exact"/>
        <w:ind w:firstLine="640"/>
        <w:jc w:val="both"/>
      </w:pPr>
      <w:r>
        <w:rPr>
          <w:rFonts w:ascii="仿宋_GB2312" w:hAnsi="仿宋_GB2312" w:eastAsia="仿宋_GB2312"/>
          <w:b w:val="0"/>
          <w:sz w:val="32"/>
        </w:rPr>
        <w:t>2025年度新疆维吾尔自治区教育科学研究院（事业单位）公用经费支出79.11万元，比上年增加29.08万元，增长58.13%，主要原因是：本年根据实际工作需要增加差旅费、办公费等。</w:t>
      </w:r>
    </w:p>
    <w:p w14:paraId="3EC18A0A">
      <w:pPr>
        <w:spacing w:line="640" w:lineRule="exact"/>
        <w:ind w:firstLine="640"/>
        <w:jc w:val="both"/>
        <w:outlineLvl w:val="3"/>
      </w:pPr>
      <w:r>
        <w:rPr>
          <w:rFonts w:ascii="楷体_GB2312" w:hAnsi="楷体_GB2312" w:eastAsia="楷体_GB2312"/>
          <w:b/>
          <w:sz w:val="32"/>
        </w:rPr>
        <w:t>（二）政府采购情况</w:t>
      </w:r>
    </w:p>
    <w:p w14:paraId="6D7D8B2F">
      <w:pPr>
        <w:spacing w:line="580" w:lineRule="exact"/>
        <w:ind w:firstLine="640"/>
        <w:jc w:val="both"/>
      </w:pPr>
      <w:r>
        <w:rPr>
          <w:rFonts w:ascii="仿宋_GB2312" w:hAnsi="仿宋_GB2312" w:eastAsia="仿宋_GB2312"/>
          <w:b w:val="0"/>
          <w:sz w:val="32"/>
        </w:rPr>
        <w:t>2025年度政府采购支出总额94.12万元，其中：政府采购货物支出1.00万元、政府采购工程支出0.00万元、政府采购服务支出93.12万元。</w:t>
      </w:r>
    </w:p>
    <w:p w14:paraId="7418EE13">
      <w:pPr>
        <w:spacing w:line="580" w:lineRule="exact"/>
        <w:ind w:firstLine="640"/>
        <w:jc w:val="both"/>
      </w:pPr>
      <w:r>
        <w:rPr>
          <w:rFonts w:ascii="仿宋_GB2312" w:hAnsi="仿宋_GB2312" w:eastAsia="仿宋_GB2312"/>
          <w:b w:val="0"/>
          <w:sz w:val="32"/>
        </w:rPr>
        <w:t>授予中小企业合同金额42.43万元，占政府采购支出总额的45.08%，其中：授予小微企业合同金额42.43万元，占政府采购支出总额的45.08%。</w:t>
      </w:r>
    </w:p>
    <w:p w14:paraId="461C0429">
      <w:pPr>
        <w:spacing w:line="640" w:lineRule="exact"/>
        <w:ind w:firstLine="640"/>
        <w:jc w:val="both"/>
        <w:outlineLvl w:val="3"/>
      </w:pPr>
      <w:r>
        <w:rPr>
          <w:rFonts w:ascii="楷体_GB2312" w:hAnsi="楷体_GB2312" w:eastAsia="楷体_GB2312"/>
          <w:b/>
          <w:sz w:val="32"/>
        </w:rPr>
        <w:t>（三）国有资产占用情况说明</w:t>
      </w:r>
    </w:p>
    <w:p w14:paraId="70E17D6D">
      <w:pPr>
        <w:spacing w:line="580" w:lineRule="exact"/>
        <w:ind w:firstLine="640"/>
        <w:jc w:val="both"/>
      </w:pPr>
      <w:r>
        <w:rPr>
          <w:rFonts w:ascii="仿宋_GB2312" w:hAnsi="仿宋_GB2312" w:eastAsia="仿宋_GB2312"/>
          <w:b w:val="0"/>
          <w:sz w:val="32"/>
        </w:rPr>
        <w:t>截至2025年12月31日，房屋840.00平方米，价值194.97万元。车辆3辆，价值90.45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209C401D">
      <w:pPr>
        <w:spacing w:line="640" w:lineRule="exact"/>
        <w:ind w:firstLine="640"/>
        <w:jc w:val="both"/>
        <w:outlineLvl w:val="2"/>
      </w:pPr>
      <w:r>
        <w:rPr>
          <w:rFonts w:ascii="黑体" w:hAnsi="黑体" w:eastAsia="黑体"/>
          <w:sz w:val="32"/>
        </w:rPr>
        <w:t>十一、预算绩效的情况说明</w:t>
      </w:r>
    </w:p>
    <w:p w14:paraId="7AC23CCF">
      <w:pPr>
        <w:spacing w:line="580" w:lineRule="exact"/>
        <w:ind w:firstLine="640"/>
        <w:jc w:val="both"/>
      </w:pPr>
      <w:r>
        <w:rPr>
          <w:rFonts w:ascii="仿宋_GB2312" w:hAnsi="仿宋_GB2312" w:eastAsia="仿宋_GB2312"/>
          <w:b w:val="0"/>
          <w:sz w:val="32"/>
        </w:rPr>
        <w:t>根据预算绩效管理要求，本单位预算绩效评价项目</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w:t>
      </w:r>
      <w:r>
        <w:rPr>
          <w:rFonts w:hint="eastAsia" w:ascii="仿宋_GB2312" w:hAnsi="仿宋_GB2312" w:eastAsia="仿宋_GB2312"/>
          <w:b w:val="0"/>
          <w:sz w:val="32"/>
        </w:rPr>
        <w:t>902.6</w:t>
      </w:r>
      <w:r>
        <w:rPr>
          <w:rFonts w:ascii="仿宋_GB2312" w:hAnsi="仿宋_GB2312" w:eastAsia="仿宋_GB2312"/>
          <w:b w:val="0"/>
          <w:sz w:val="32"/>
        </w:rPr>
        <w:t>万元，全年执行数</w:t>
      </w:r>
      <w:r>
        <w:rPr>
          <w:rFonts w:hint="eastAsia" w:ascii="仿宋_GB2312" w:hAnsi="仿宋_GB2312" w:eastAsia="仿宋_GB2312"/>
          <w:b w:val="0"/>
          <w:sz w:val="32"/>
        </w:rPr>
        <w:t>455.57</w:t>
      </w:r>
      <w:r>
        <w:rPr>
          <w:rFonts w:ascii="仿宋_GB2312" w:hAnsi="仿宋_GB2312" w:eastAsia="仿宋_GB2312"/>
          <w:b w:val="0"/>
          <w:sz w:val="32"/>
        </w:rPr>
        <w:t>万元。预算绩效管理取得的成效：一是及时反馈，促进了单位及时履职；二是提前谋划，促进工作顺利展开。发现的问题及原因：一是资金使用部门对绩效监控工作不理解</w:t>
      </w:r>
      <w:r>
        <w:rPr>
          <w:rFonts w:hint="eastAsia" w:ascii="仿宋_GB2312" w:hAnsi="仿宋_GB2312" w:eastAsia="仿宋_GB2312"/>
          <w:b w:val="0"/>
          <w:sz w:val="32"/>
          <w:lang w:eastAsia="zh-CN"/>
        </w:rPr>
        <w:t>，在</w:t>
      </w:r>
      <w:r>
        <w:rPr>
          <w:rFonts w:ascii="仿宋_GB2312" w:hAnsi="仿宋_GB2312" w:eastAsia="仿宋_GB2312"/>
          <w:b w:val="0"/>
          <w:sz w:val="32"/>
        </w:rPr>
        <w:t>协调配合上存在困难；二是对绩效目标等理解不深，包括财</w:t>
      </w:r>
      <w:bookmarkStart w:id="0" w:name="_GoBack"/>
      <w:bookmarkEnd w:id="0"/>
      <w:r>
        <w:rPr>
          <w:rFonts w:ascii="仿宋_GB2312" w:hAnsi="仿宋_GB2312" w:eastAsia="仿宋_GB2312"/>
          <w:b w:val="0"/>
          <w:sz w:val="32"/>
        </w:rPr>
        <w:t>务人员和资金使用管理人员还需进一步加强培训。下一步改进措施：一是落实责任，将绩效监控作为单位重点工作之一，由主要领导亲自安排部署，分工负责，责任落实到人；二是总结经验，对绩效目标的设定进行改进，加强绩效目标设定的审核。具体附项目支出绩效自评表。</w:t>
      </w:r>
    </w:p>
    <w:p w14:paraId="12E90624">
      <w:r>
        <w:br w:type="page"/>
      </w:r>
    </w:p>
    <w:p w14:paraId="6328F8E3">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793E116">
        <w:tblPrEx>
          <w:tblCellMar>
            <w:top w:w="36" w:type="dxa"/>
            <w:left w:w="36" w:type="dxa"/>
            <w:bottom w:w="36" w:type="dxa"/>
            <w:right w:w="36" w:type="dxa"/>
          </w:tblCellMar>
        </w:tblPrEx>
        <w:trPr>
          <w:trHeight w:val="408"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4DFC79B">
            <w:pPr>
              <w:spacing w:before="0" w:after="0" w:line="240" w:lineRule="auto"/>
              <w:jc w:val="center"/>
            </w:pPr>
            <w:r>
              <w:rPr>
                <w:rFonts w:ascii="宋体" w:hAnsi="宋体" w:eastAsia="宋体"/>
                <w:b/>
                <w:i w:val="0"/>
                <w:sz w:val="32"/>
              </w:rPr>
              <w:t>项目支出绩效自评表</w:t>
            </w:r>
          </w:p>
        </w:tc>
      </w:tr>
      <w:tr w14:paraId="5D1B5CB2">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95B7299">
            <w:pPr>
              <w:spacing w:before="0" w:after="0" w:line="240" w:lineRule="auto"/>
              <w:jc w:val="center"/>
            </w:pPr>
            <w:r>
              <w:rPr>
                <w:rFonts w:ascii="宋体" w:hAnsi="宋体" w:eastAsia="宋体"/>
                <w:b w:val="0"/>
                <w:i w:val="0"/>
                <w:sz w:val="22"/>
              </w:rPr>
              <w:t>(2025年度)</w:t>
            </w:r>
          </w:p>
        </w:tc>
      </w:tr>
      <w:tr w14:paraId="223AF3E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3740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0E316B0">
            <w:pPr>
              <w:spacing w:before="0" w:after="0" w:line="240" w:lineRule="auto"/>
              <w:jc w:val="center"/>
            </w:pPr>
            <w:r>
              <w:rPr>
                <w:rFonts w:ascii="宋体" w:hAnsi="宋体" w:eastAsia="宋体"/>
                <w:b w:val="0"/>
                <w:i w:val="0"/>
                <w:sz w:val="18"/>
              </w:rPr>
              <w:t>自治区基础教育课堂教学指导项目</w:t>
            </w:r>
          </w:p>
        </w:tc>
      </w:tr>
      <w:tr w14:paraId="6738C79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77EC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A86D67">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BE981">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045DC6">
            <w:pPr>
              <w:spacing w:before="0" w:after="0" w:line="240" w:lineRule="auto"/>
              <w:jc w:val="center"/>
            </w:pPr>
            <w:r>
              <w:rPr>
                <w:rFonts w:ascii="宋体" w:hAnsi="宋体" w:eastAsia="宋体"/>
                <w:b w:val="0"/>
                <w:i w:val="0"/>
                <w:sz w:val="18"/>
              </w:rPr>
              <w:t>新疆维吾尔自治区教育科学研究院</w:t>
            </w:r>
          </w:p>
        </w:tc>
      </w:tr>
      <w:tr w14:paraId="31A44799">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3FCF0">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E9C8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50F17">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BFE4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1446A">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55E91">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7D72F">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CFA7D4">
            <w:pPr>
              <w:spacing w:before="0" w:after="0" w:line="240" w:lineRule="auto"/>
              <w:jc w:val="center"/>
            </w:pPr>
            <w:r>
              <w:rPr>
                <w:rFonts w:ascii="宋体" w:hAnsi="宋体" w:eastAsia="宋体"/>
                <w:b/>
                <w:i w:val="0"/>
                <w:sz w:val="18"/>
              </w:rPr>
              <w:t>得分</w:t>
            </w:r>
          </w:p>
        </w:tc>
      </w:tr>
      <w:tr w14:paraId="5E308E8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8C0A28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A56FE">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2407A">
            <w:pPr>
              <w:spacing w:before="0" w:after="0" w:line="240" w:lineRule="auto"/>
              <w:jc w:val="center"/>
            </w:pPr>
            <w:r>
              <w:rPr>
                <w:rFonts w:ascii="宋体" w:hAnsi="宋体" w:eastAsia="宋体"/>
                <w:b w:val="0"/>
                <w:i w:val="0"/>
                <w:sz w:val="18"/>
              </w:rPr>
              <w:t>35.00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5FFF7">
            <w:pPr>
              <w:spacing w:before="0" w:after="0" w:line="240" w:lineRule="auto"/>
              <w:jc w:val="center"/>
            </w:pPr>
            <w:r>
              <w:rPr>
                <w:rFonts w:ascii="宋体" w:hAnsi="宋体" w:eastAsia="宋体"/>
                <w:b w:val="0"/>
                <w:i w:val="0"/>
                <w:sz w:val="18"/>
              </w:rPr>
              <w:t>35.00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C7740">
            <w:pPr>
              <w:spacing w:before="0" w:after="0" w:line="240" w:lineRule="auto"/>
              <w:jc w:val="center"/>
            </w:pPr>
            <w:r>
              <w:rPr>
                <w:rFonts w:ascii="宋体" w:hAnsi="宋体" w:eastAsia="宋体"/>
                <w:b w:val="0"/>
                <w:i w:val="0"/>
                <w:sz w:val="18"/>
              </w:rPr>
              <w:t>35.00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653B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A56D0">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80315">
            <w:pPr>
              <w:spacing w:before="0" w:after="0" w:line="240" w:lineRule="auto"/>
              <w:jc w:val="center"/>
            </w:pPr>
            <w:r>
              <w:rPr>
                <w:rFonts w:ascii="宋体" w:hAnsi="宋体" w:eastAsia="宋体"/>
                <w:b w:val="0"/>
                <w:i w:val="0"/>
                <w:sz w:val="18"/>
              </w:rPr>
              <w:t>10.00</w:t>
            </w:r>
          </w:p>
        </w:tc>
      </w:tr>
      <w:tr w14:paraId="0E2D5E5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1D1CCF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9105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2C0F7">
            <w:pPr>
              <w:spacing w:before="0" w:after="0" w:line="240" w:lineRule="auto"/>
              <w:jc w:val="center"/>
            </w:pPr>
            <w:r>
              <w:rPr>
                <w:rFonts w:ascii="宋体" w:hAnsi="宋体" w:eastAsia="宋体"/>
                <w:b w:val="0"/>
                <w:i w:val="0"/>
                <w:sz w:val="18"/>
              </w:rPr>
              <w:t>35.00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E4448">
            <w:pPr>
              <w:spacing w:before="0" w:after="0" w:line="240" w:lineRule="auto"/>
              <w:jc w:val="center"/>
            </w:pPr>
            <w:r>
              <w:rPr>
                <w:rFonts w:ascii="宋体" w:hAnsi="宋体" w:eastAsia="宋体"/>
                <w:b w:val="0"/>
                <w:i w:val="0"/>
                <w:sz w:val="18"/>
              </w:rPr>
              <w:t>35.00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E126C">
            <w:pPr>
              <w:spacing w:before="0" w:after="0" w:line="240" w:lineRule="auto"/>
              <w:jc w:val="center"/>
            </w:pPr>
            <w:r>
              <w:rPr>
                <w:rFonts w:ascii="宋体" w:hAnsi="宋体" w:eastAsia="宋体"/>
                <w:b w:val="0"/>
                <w:i w:val="0"/>
                <w:sz w:val="18"/>
              </w:rPr>
              <w:t>35.00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0E4D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06DE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4144C">
            <w:pPr>
              <w:spacing w:before="0" w:after="0" w:line="240" w:lineRule="auto"/>
              <w:jc w:val="center"/>
            </w:pPr>
            <w:r>
              <w:rPr>
                <w:rFonts w:ascii="宋体" w:hAnsi="宋体" w:eastAsia="宋体"/>
                <w:b w:val="0"/>
                <w:i w:val="0"/>
                <w:sz w:val="18"/>
              </w:rPr>
              <w:t>—</w:t>
            </w:r>
          </w:p>
        </w:tc>
      </w:tr>
      <w:tr w14:paraId="022C9A6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805EC9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AA1B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979E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E859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3509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16E3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CA42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95E57">
            <w:pPr>
              <w:spacing w:before="0" w:after="0" w:line="240" w:lineRule="auto"/>
              <w:jc w:val="center"/>
            </w:pPr>
            <w:r>
              <w:rPr>
                <w:rFonts w:ascii="宋体" w:hAnsi="宋体" w:eastAsia="宋体"/>
                <w:b w:val="0"/>
                <w:i w:val="0"/>
                <w:sz w:val="18"/>
              </w:rPr>
              <w:t>—</w:t>
            </w:r>
          </w:p>
        </w:tc>
      </w:tr>
      <w:tr w14:paraId="1EA823A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E8FC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169AC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68D80B">
            <w:pPr>
              <w:spacing w:before="0" w:after="0" w:line="240" w:lineRule="auto"/>
              <w:jc w:val="center"/>
            </w:pPr>
            <w:r>
              <w:rPr>
                <w:rFonts w:ascii="宋体" w:hAnsi="宋体" w:eastAsia="宋体"/>
                <w:b/>
                <w:i w:val="0"/>
                <w:sz w:val="18"/>
              </w:rPr>
              <w:t>实际完成情况</w:t>
            </w:r>
          </w:p>
        </w:tc>
      </w:tr>
      <w:tr w14:paraId="551633E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80BEAF"/>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6A9D99">
            <w:pPr>
              <w:spacing w:before="0" w:after="0" w:line="240" w:lineRule="auto"/>
              <w:jc w:val="center"/>
            </w:pPr>
            <w:r>
              <w:rPr>
                <w:rFonts w:ascii="宋体" w:hAnsi="宋体" w:eastAsia="宋体"/>
                <w:b w:val="0"/>
                <w:i w:val="0"/>
                <w:sz w:val="18"/>
              </w:rPr>
              <w:t>1.开展线上线下各学科的送教和课堂教学指导活动。坚持上下结合、按需送教、讲究实效的原则，采取“送教上门式”“订单服务式”“网络研修式”开展送教下基层及专业指导活动。同时，积极推进“互联网+教育”，加快“专递课堂”“名师课堂”和“名校网络课堂”的建设，推动实现教育优质均衡发展。
2.自治区基础教育学科研修工作室建设项目。在已建立的31个自治区基础教育学科研修工作室中，开展以“教学创新与专业成长”为主题的研修活动，提升工作室成员的教学水平和专业素养，促进学科教学方法的交流与创新，加强成员之间的合作与互动，形成良好的教研氛围，助力教育教学质量的提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77F773">
            <w:pPr>
              <w:spacing w:before="0" w:after="0" w:line="240" w:lineRule="auto"/>
              <w:jc w:val="center"/>
            </w:pPr>
            <w:r>
              <w:rPr>
                <w:rFonts w:ascii="宋体" w:hAnsi="宋体" w:eastAsia="宋体"/>
                <w:b w:val="0"/>
                <w:i w:val="0"/>
                <w:sz w:val="18"/>
              </w:rPr>
              <w:t>1.开展线上线下各学科的送教和课堂教学指导活动。坚持上下结合、按需送教、讲究实效的原则，采取“送教上门式”“订单服务式”“网络研修式”开展送教下基层及专业指导活动。同时，积极推进“互联网+教育”，加快“专递课堂”“名师课堂”和“名校网络课堂”的建设，推动实现教育优质均衡发展。 2.自治区基础教育学科研修工作室建设项目。在已建立的31个自治区基础教育学科研修工作室中，开展以“教学创新与专业成长”为主题的研修活动，提升工作室成员的教学水平和专业素养，促进学科教学方法的交流与创新，加强成员之间的合作与互动，形成良好的教研氛围，助力教育教学质量的提升。</w:t>
            </w:r>
          </w:p>
        </w:tc>
      </w:tr>
      <w:tr w14:paraId="73BA53C4">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94BF6">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6AE7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FAF38">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212FE">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80FC6">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70DEB">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5BAA2">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F30DF">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BA604">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66DDC">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BED2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9B4E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41C75">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007E2">
            <w:pPr>
              <w:spacing w:before="0" w:after="0" w:line="240" w:lineRule="auto"/>
              <w:jc w:val="center"/>
            </w:pPr>
            <w:r>
              <w:rPr>
                <w:rFonts w:ascii="宋体" w:hAnsi="宋体" w:eastAsia="宋体"/>
                <w:b/>
                <w:i w:val="0"/>
                <w:sz w:val="18"/>
              </w:rPr>
              <w:t>偏差原因分析及改进措施</w:t>
            </w:r>
          </w:p>
        </w:tc>
      </w:tr>
      <w:tr w14:paraId="269F47B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FA9B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2EEC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56E24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F189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C6CE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6517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B808A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1C47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CE5F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F249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B012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A4C3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0CDF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7483DF"/>
        </w:tc>
      </w:tr>
      <w:tr w14:paraId="5B9B380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BCB5E">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A17AA">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FFE8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BA4F5">
            <w:pPr>
              <w:spacing w:before="0" w:after="0" w:line="240" w:lineRule="auto"/>
              <w:jc w:val="center"/>
            </w:pPr>
            <w:r>
              <w:rPr>
                <w:rFonts w:ascii="宋体" w:hAnsi="宋体" w:eastAsia="宋体"/>
                <w:b w:val="0"/>
                <w:i w:val="0"/>
                <w:sz w:val="18"/>
              </w:rPr>
              <w:t>各学科送教和课堂教学指导活动覆盖地州</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31F34">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3F460">
            <w:pPr>
              <w:spacing w:before="0" w:after="0" w:line="240" w:lineRule="auto"/>
              <w:jc w:val="center"/>
            </w:pPr>
            <w:r>
              <w:rPr>
                <w:rFonts w:ascii="宋体" w:hAnsi="宋体" w:eastAsia="宋体"/>
                <w:b w:val="0"/>
                <w:i w:val="0"/>
                <w:sz w:val="18"/>
              </w:rPr>
              <w:t>14个地州</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F875A">
            <w:pPr>
              <w:spacing w:before="0" w:after="0" w:line="240" w:lineRule="auto"/>
              <w:jc w:val="center"/>
            </w:pPr>
            <w:r>
              <w:rPr>
                <w:rFonts w:ascii="宋体" w:hAnsi="宋体" w:eastAsia="宋体"/>
                <w:b w:val="0"/>
                <w:i w:val="0"/>
                <w:sz w:val="18"/>
              </w:rPr>
              <w:t>=14个地州</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4753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052EE">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42CD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2D947">
            <w:pPr>
              <w:spacing w:before="0" w:after="0" w:line="240" w:lineRule="auto"/>
              <w:jc w:val="center"/>
            </w:pPr>
            <w:r>
              <w:rPr>
                <w:rFonts w:ascii="宋体" w:hAnsi="宋体" w:eastAsia="宋体"/>
                <w:b w:val="0"/>
                <w:i w:val="0"/>
                <w:sz w:val="18"/>
              </w:rPr>
              <w:t>14个地州</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67501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C5867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3AD5DD">
            <w:pPr>
              <w:spacing w:before="0" w:after="0" w:line="240" w:lineRule="auto"/>
              <w:jc w:val="center"/>
            </w:pPr>
          </w:p>
        </w:tc>
      </w:tr>
      <w:tr w14:paraId="77826B2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3DAB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96EA8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A6C5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5F8D6B">
            <w:pPr>
              <w:spacing w:before="0" w:after="0" w:line="240" w:lineRule="auto"/>
              <w:jc w:val="center"/>
            </w:pPr>
            <w:r>
              <w:rPr>
                <w:rFonts w:ascii="宋体" w:hAnsi="宋体" w:eastAsia="宋体"/>
                <w:b w:val="0"/>
                <w:i w:val="0"/>
                <w:sz w:val="18"/>
              </w:rPr>
              <w:t>自治区基础教育学科研修工作室数量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A5A155">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E911F">
            <w:pPr>
              <w:spacing w:before="0" w:after="0" w:line="240" w:lineRule="auto"/>
              <w:jc w:val="center"/>
            </w:pPr>
            <w:r>
              <w:rPr>
                <w:rFonts w:ascii="宋体" w:hAnsi="宋体" w:eastAsia="宋体"/>
                <w:b w:val="0"/>
                <w:i w:val="0"/>
                <w:sz w:val="18"/>
              </w:rPr>
              <w:t>=31个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F31BC">
            <w:pPr>
              <w:spacing w:before="0" w:after="0" w:line="240" w:lineRule="auto"/>
              <w:jc w:val="center"/>
            </w:pPr>
            <w:r>
              <w:rPr>
                <w:rFonts w:ascii="宋体" w:hAnsi="宋体" w:eastAsia="宋体"/>
                <w:b w:val="0"/>
                <w:i w:val="0"/>
                <w:sz w:val="18"/>
              </w:rPr>
              <w:t>=31个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1E80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75B0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79E9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5BBF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B827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9ADC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641F4">
            <w:pPr>
              <w:spacing w:before="0" w:after="0" w:line="240" w:lineRule="auto"/>
              <w:jc w:val="center"/>
            </w:pPr>
          </w:p>
        </w:tc>
      </w:tr>
      <w:tr w14:paraId="1774CB9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C4DD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B125C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F0FA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6A4B4">
            <w:pPr>
              <w:spacing w:before="0" w:after="0" w:line="240" w:lineRule="auto"/>
              <w:jc w:val="center"/>
            </w:pPr>
            <w:r>
              <w:rPr>
                <w:rFonts w:ascii="宋体" w:hAnsi="宋体" w:eastAsia="宋体"/>
                <w:b w:val="0"/>
                <w:i w:val="0"/>
                <w:sz w:val="18"/>
              </w:rPr>
              <w:t>各学科送教和课堂教学指导活动教师参与度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A26D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1F9DA3">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68192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5805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51C7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A9CC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FC53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AC99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7B3EA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68088">
            <w:pPr>
              <w:spacing w:before="0" w:after="0" w:line="240" w:lineRule="auto"/>
              <w:jc w:val="center"/>
            </w:pPr>
          </w:p>
        </w:tc>
      </w:tr>
      <w:tr w14:paraId="1CEE258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0A9E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849A6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7FC01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C1839">
            <w:pPr>
              <w:spacing w:before="0" w:after="0" w:line="240" w:lineRule="auto"/>
              <w:jc w:val="center"/>
            </w:pPr>
            <w:r>
              <w:rPr>
                <w:rFonts w:ascii="宋体" w:hAnsi="宋体" w:eastAsia="宋体"/>
                <w:b w:val="0"/>
                <w:i w:val="0"/>
                <w:sz w:val="18"/>
              </w:rPr>
              <w:t>自治区基础教育学科研修工作室成员参与度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B23C3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851F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48002">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D54E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46CB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34D2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30C5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6EE2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61B5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6C344">
            <w:pPr>
              <w:spacing w:before="0" w:after="0" w:line="240" w:lineRule="auto"/>
              <w:jc w:val="center"/>
            </w:pPr>
          </w:p>
        </w:tc>
      </w:tr>
      <w:tr w14:paraId="60EB736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B2A96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F36E7">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043B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E66BB0">
            <w:pPr>
              <w:spacing w:before="0" w:after="0" w:line="240" w:lineRule="auto"/>
              <w:jc w:val="center"/>
            </w:pPr>
            <w:r>
              <w:rPr>
                <w:rFonts w:ascii="宋体" w:hAnsi="宋体" w:eastAsia="宋体"/>
                <w:b w:val="0"/>
                <w:i w:val="0"/>
                <w:sz w:val="18"/>
              </w:rPr>
              <w:t>研修工作室补助经费标准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B15E1">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681B2">
            <w:pPr>
              <w:spacing w:before="0" w:after="0" w:line="240" w:lineRule="auto"/>
              <w:jc w:val="center"/>
            </w:pPr>
            <w:r>
              <w:rPr>
                <w:rFonts w:ascii="宋体" w:hAnsi="宋体" w:eastAsia="宋体"/>
                <w:b w:val="0"/>
                <w:i w:val="0"/>
                <w:sz w:val="18"/>
              </w:rPr>
              <w:t>=5000元/个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89DBB">
            <w:pPr>
              <w:spacing w:before="0" w:after="0" w:line="240" w:lineRule="auto"/>
              <w:jc w:val="center"/>
            </w:pPr>
            <w:r>
              <w:rPr>
                <w:rFonts w:ascii="宋体" w:hAnsi="宋体" w:eastAsia="宋体"/>
                <w:b w:val="0"/>
                <w:i w:val="0"/>
                <w:sz w:val="18"/>
              </w:rPr>
              <w:t>=5000元/个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42FC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3355FC">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BCE7D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2ED7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DB578">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5BCF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AEC28">
            <w:pPr>
              <w:spacing w:before="0" w:after="0" w:line="240" w:lineRule="auto"/>
              <w:jc w:val="center"/>
            </w:pPr>
          </w:p>
        </w:tc>
      </w:tr>
      <w:tr w14:paraId="4371C31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B6524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DFF50">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876236">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798030">
            <w:pPr>
              <w:spacing w:before="0" w:after="0" w:line="240" w:lineRule="auto"/>
              <w:jc w:val="center"/>
            </w:pPr>
            <w:r>
              <w:rPr>
                <w:rFonts w:ascii="宋体" w:hAnsi="宋体" w:eastAsia="宋体"/>
                <w:b w:val="0"/>
                <w:i w:val="0"/>
                <w:sz w:val="18"/>
              </w:rPr>
              <w:t>教师专业能力和施教水平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BF1A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5F1D8">
            <w:pPr>
              <w:spacing w:before="0" w:after="0" w:line="240" w:lineRule="auto"/>
              <w:jc w:val="center"/>
            </w:pPr>
            <w:r>
              <w:rPr>
                <w:rFonts w:ascii="宋体" w:hAnsi="宋体" w:eastAsia="宋体"/>
                <w:b w:val="0"/>
                <w:i w:val="0"/>
                <w:sz w:val="18"/>
              </w:rPr>
              <w:t>稳步提升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2A16E7">
            <w:pPr>
              <w:spacing w:before="0" w:after="0" w:line="240" w:lineRule="auto"/>
              <w:jc w:val="center"/>
            </w:pPr>
            <w:r>
              <w:rPr>
                <w:rFonts w:ascii="宋体" w:hAnsi="宋体" w:eastAsia="宋体"/>
                <w:b w:val="0"/>
                <w:i w:val="0"/>
                <w:sz w:val="18"/>
              </w:rPr>
              <w:t>稳步提升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EE387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3331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F0BF1">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34D3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479B0B">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C812B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4C34D">
            <w:pPr>
              <w:spacing w:before="0" w:after="0" w:line="240" w:lineRule="auto"/>
              <w:jc w:val="center"/>
            </w:pPr>
          </w:p>
        </w:tc>
      </w:tr>
      <w:tr w14:paraId="635CE90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9F5BD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1DBF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3E640">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036A5">
            <w:pPr>
              <w:spacing w:before="0" w:after="0" w:line="240" w:lineRule="auto"/>
              <w:jc w:val="center"/>
            </w:pPr>
            <w:r>
              <w:rPr>
                <w:rFonts w:ascii="宋体" w:hAnsi="宋体" w:eastAsia="宋体"/>
                <w:b w:val="0"/>
                <w:i w:val="0"/>
                <w:sz w:val="18"/>
              </w:rPr>
              <w:t>教师满意度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0F20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0F3F2">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7CA48D">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5314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2F87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B0C72">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C3B3E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14C846">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30D265">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6E39F">
            <w:pPr>
              <w:spacing w:before="0" w:after="0" w:line="240" w:lineRule="auto"/>
              <w:jc w:val="center"/>
            </w:pPr>
          </w:p>
        </w:tc>
      </w:tr>
      <w:tr w14:paraId="6645245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69D320">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2263B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5310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A229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C525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D8FF8">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C732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54BEB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852D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3724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D979BC">
            <w:pPr>
              <w:spacing w:before="0" w:after="0" w:line="240" w:lineRule="auto"/>
              <w:jc w:val="center"/>
            </w:pPr>
          </w:p>
        </w:tc>
      </w:tr>
    </w:tbl>
    <w:p w14:paraId="36AD8B74">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57BF2FC">
        <w:tblPrEx>
          <w:tblCellMar>
            <w:top w:w="36" w:type="dxa"/>
            <w:left w:w="36" w:type="dxa"/>
            <w:bottom w:w="36" w:type="dxa"/>
            <w:right w:w="36" w:type="dxa"/>
          </w:tblCellMar>
        </w:tblPrEx>
        <w:trPr>
          <w:trHeight w:val="408"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2690B9A">
            <w:pPr>
              <w:spacing w:before="0" w:after="0" w:line="240" w:lineRule="auto"/>
              <w:jc w:val="center"/>
            </w:pPr>
            <w:r>
              <w:rPr>
                <w:rFonts w:ascii="宋体" w:hAnsi="宋体" w:eastAsia="宋体"/>
                <w:b/>
                <w:i w:val="0"/>
                <w:sz w:val="32"/>
              </w:rPr>
              <w:t>项目支出绩效自评表</w:t>
            </w:r>
          </w:p>
        </w:tc>
      </w:tr>
      <w:tr w14:paraId="0C29FF82">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E1C868C">
            <w:pPr>
              <w:spacing w:before="0" w:after="0" w:line="240" w:lineRule="auto"/>
              <w:jc w:val="center"/>
            </w:pPr>
            <w:r>
              <w:rPr>
                <w:rFonts w:ascii="宋体" w:hAnsi="宋体" w:eastAsia="宋体"/>
                <w:b w:val="0"/>
                <w:i w:val="0"/>
                <w:sz w:val="22"/>
              </w:rPr>
              <w:t>(2025年度)</w:t>
            </w:r>
          </w:p>
        </w:tc>
      </w:tr>
      <w:tr w14:paraId="24B1E60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9B6C2">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D2495A5">
            <w:pPr>
              <w:spacing w:before="0" w:after="0" w:line="240" w:lineRule="auto"/>
              <w:jc w:val="center"/>
            </w:pPr>
            <w:r>
              <w:rPr>
                <w:rFonts w:ascii="宋体" w:hAnsi="宋体" w:eastAsia="宋体"/>
                <w:b w:val="0"/>
                <w:i w:val="0"/>
                <w:sz w:val="18"/>
              </w:rPr>
              <w:t>非财拨项目-弥补公用资金不足部分</w:t>
            </w:r>
          </w:p>
        </w:tc>
      </w:tr>
      <w:tr w14:paraId="78AD8DD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6DD9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0692CE">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8BDB9">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06609A">
            <w:pPr>
              <w:spacing w:before="0" w:after="0" w:line="240" w:lineRule="auto"/>
              <w:jc w:val="center"/>
            </w:pPr>
            <w:r>
              <w:rPr>
                <w:rFonts w:ascii="宋体" w:hAnsi="宋体" w:eastAsia="宋体"/>
                <w:b w:val="0"/>
                <w:i w:val="0"/>
                <w:sz w:val="18"/>
              </w:rPr>
              <w:t>新疆维吾尔自治区教育科学研究院</w:t>
            </w:r>
          </w:p>
        </w:tc>
      </w:tr>
      <w:tr w14:paraId="3AD73B8C">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E0AF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F748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6186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58C19">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F04AD">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7BF3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3D6C1">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D4217F">
            <w:pPr>
              <w:spacing w:before="0" w:after="0" w:line="240" w:lineRule="auto"/>
              <w:jc w:val="center"/>
            </w:pPr>
            <w:r>
              <w:rPr>
                <w:rFonts w:ascii="宋体" w:hAnsi="宋体" w:eastAsia="宋体"/>
                <w:b/>
                <w:i w:val="0"/>
                <w:sz w:val="18"/>
              </w:rPr>
              <w:t>得分</w:t>
            </w:r>
          </w:p>
        </w:tc>
      </w:tr>
      <w:tr w14:paraId="58F71E8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086CB6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98234">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7D4010">
            <w:pPr>
              <w:spacing w:before="0" w:after="0" w:line="240" w:lineRule="auto"/>
              <w:jc w:val="center"/>
            </w:pPr>
            <w:r>
              <w:rPr>
                <w:rFonts w:ascii="宋体" w:hAnsi="宋体" w:eastAsia="宋体"/>
                <w:b w:val="0"/>
                <w:i w:val="0"/>
                <w:sz w:val="18"/>
              </w:rPr>
              <w:t>867.60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3F85E">
            <w:pPr>
              <w:spacing w:before="0" w:after="0" w:line="240" w:lineRule="auto"/>
              <w:jc w:val="center"/>
            </w:pPr>
            <w:r>
              <w:rPr>
                <w:rFonts w:ascii="宋体" w:hAnsi="宋体" w:eastAsia="宋体"/>
                <w:b w:val="0"/>
                <w:i w:val="0"/>
                <w:sz w:val="18"/>
              </w:rPr>
              <w:t>867.60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0C3A3">
            <w:pPr>
              <w:spacing w:before="0" w:after="0" w:line="240" w:lineRule="auto"/>
              <w:jc w:val="center"/>
            </w:pPr>
            <w:r>
              <w:rPr>
                <w:rFonts w:ascii="宋体" w:hAnsi="宋体" w:eastAsia="宋体"/>
                <w:b w:val="0"/>
                <w:i w:val="0"/>
                <w:sz w:val="18"/>
              </w:rPr>
              <w:t>420.57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31B9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3B935">
            <w:pPr>
              <w:spacing w:before="0" w:after="0" w:line="240" w:lineRule="auto"/>
              <w:jc w:val="center"/>
            </w:pPr>
            <w:r>
              <w:rPr>
                <w:rFonts w:ascii="宋体" w:hAnsi="宋体" w:eastAsia="宋体"/>
                <w:b w:val="0"/>
                <w:i w:val="0"/>
                <w:sz w:val="18"/>
              </w:rPr>
              <w:t>48.48%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9C30E">
            <w:pPr>
              <w:spacing w:before="0" w:after="0" w:line="240" w:lineRule="auto"/>
              <w:jc w:val="center"/>
            </w:pPr>
            <w:r>
              <w:rPr>
                <w:rFonts w:ascii="宋体" w:hAnsi="宋体" w:eastAsia="宋体"/>
                <w:b w:val="0"/>
                <w:i w:val="0"/>
                <w:sz w:val="18"/>
              </w:rPr>
              <w:t>4.85</w:t>
            </w:r>
          </w:p>
        </w:tc>
      </w:tr>
      <w:tr w14:paraId="2D19502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100DC9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91F26">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856A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C860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BD6C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0233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D615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A4DDF">
            <w:pPr>
              <w:spacing w:before="0" w:after="0" w:line="240" w:lineRule="auto"/>
              <w:jc w:val="center"/>
            </w:pPr>
            <w:r>
              <w:rPr>
                <w:rFonts w:ascii="宋体" w:hAnsi="宋体" w:eastAsia="宋体"/>
                <w:b w:val="0"/>
                <w:i w:val="0"/>
                <w:sz w:val="18"/>
              </w:rPr>
              <w:t>—</w:t>
            </w:r>
          </w:p>
        </w:tc>
      </w:tr>
      <w:tr w14:paraId="01CBC61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4B3E48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6E23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D9A1B">
            <w:pPr>
              <w:spacing w:before="0" w:after="0" w:line="240" w:lineRule="auto"/>
              <w:jc w:val="center"/>
            </w:pPr>
            <w:r>
              <w:rPr>
                <w:rFonts w:ascii="宋体" w:hAnsi="宋体" w:eastAsia="宋体"/>
                <w:b w:val="0"/>
                <w:i w:val="0"/>
                <w:sz w:val="18"/>
              </w:rPr>
              <w:t>867.60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C5099">
            <w:pPr>
              <w:spacing w:before="0" w:after="0" w:line="240" w:lineRule="auto"/>
              <w:jc w:val="center"/>
            </w:pPr>
            <w:r>
              <w:rPr>
                <w:rFonts w:ascii="宋体" w:hAnsi="宋体" w:eastAsia="宋体"/>
                <w:b w:val="0"/>
                <w:i w:val="0"/>
                <w:sz w:val="18"/>
              </w:rPr>
              <w:t>867.60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F98AF">
            <w:pPr>
              <w:spacing w:before="0" w:after="0" w:line="240" w:lineRule="auto"/>
              <w:jc w:val="center"/>
            </w:pPr>
            <w:r>
              <w:rPr>
                <w:rFonts w:ascii="宋体" w:hAnsi="宋体" w:eastAsia="宋体"/>
                <w:b w:val="0"/>
                <w:i w:val="0"/>
                <w:sz w:val="18"/>
              </w:rPr>
              <w:t>420.57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47F0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6A73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43DBD">
            <w:pPr>
              <w:spacing w:before="0" w:after="0" w:line="240" w:lineRule="auto"/>
              <w:jc w:val="center"/>
            </w:pPr>
            <w:r>
              <w:rPr>
                <w:rFonts w:ascii="宋体" w:hAnsi="宋体" w:eastAsia="宋体"/>
                <w:b w:val="0"/>
                <w:i w:val="0"/>
                <w:sz w:val="18"/>
              </w:rPr>
              <w:t>—</w:t>
            </w:r>
          </w:p>
        </w:tc>
      </w:tr>
      <w:tr w14:paraId="4549BFD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9AC21">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AAF85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904C04">
            <w:pPr>
              <w:spacing w:before="0" w:after="0" w:line="240" w:lineRule="auto"/>
              <w:jc w:val="center"/>
            </w:pPr>
            <w:r>
              <w:rPr>
                <w:rFonts w:ascii="宋体" w:hAnsi="宋体" w:eastAsia="宋体"/>
                <w:b/>
                <w:i w:val="0"/>
                <w:sz w:val="18"/>
              </w:rPr>
              <w:t>实际完成情况</w:t>
            </w:r>
          </w:p>
        </w:tc>
      </w:tr>
      <w:tr w14:paraId="762E7E1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1B2EC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F44937">
            <w:pPr>
              <w:spacing w:before="0" w:after="0" w:line="240" w:lineRule="auto"/>
              <w:jc w:val="center"/>
            </w:pPr>
            <w:r>
              <w:rPr>
                <w:rFonts w:ascii="宋体" w:hAnsi="宋体" w:eastAsia="宋体"/>
                <w:b w:val="0"/>
                <w:i w:val="0"/>
                <w:sz w:val="18"/>
              </w:rPr>
              <w:t>1.保障人员基本支出及公用支出不足部分。
2.开展规划课题工作，搭建有效的沟通渠道和合作平台，推动科研成果的商业化应用和教学实践中的应用，推动教育教学质量的持续提升。
3.保障教育厅前楼各项物业管理支出，承担教育厅前楼电路扩容改造及中央空调的安装等相关支出，改善办公环境。</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E95E85">
            <w:pPr>
              <w:spacing w:before="0" w:after="0" w:line="240" w:lineRule="auto"/>
              <w:jc w:val="center"/>
            </w:pPr>
            <w:r>
              <w:rPr>
                <w:rFonts w:ascii="宋体" w:hAnsi="宋体" w:eastAsia="宋体"/>
                <w:b w:val="0"/>
                <w:i w:val="0"/>
                <w:sz w:val="18"/>
              </w:rPr>
              <w:t>1.保障人员基本支出及公用支出不足部分。 2.开展规划课题工作，搭建有效的沟通渠道和合作平台，推动科研成果的商业化应用和教学实践中的应用，推动教育教学质量的持续提升。 3.保障教育厅前楼各项物业管理支出，承担教育厅前楼电路扩容改造及中央空调的安装等相关支出，改善办公环境。</w:t>
            </w:r>
          </w:p>
        </w:tc>
      </w:tr>
      <w:tr w14:paraId="0AC8FE3E">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477E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C762C">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4FDAD">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133D1">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BD0DC">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AEBC6">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6568A">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85EDF">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73BD4">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B5A44">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97116">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EECEA">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1CD3D">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EFA15">
            <w:pPr>
              <w:spacing w:before="0" w:after="0" w:line="240" w:lineRule="auto"/>
              <w:jc w:val="center"/>
            </w:pPr>
            <w:r>
              <w:rPr>
                <w:rFonts w:ascii="宋体" w:hAnsi="宋体" w:eastAsia="宋体"/>
                <w:b/>
                <w:i w:val="0"/>
                <w:sz w:val="18"/>
              </w:rPr>
              <w:t>偏差原因分析及改进措施</w:t>
            </w:r>
          </w:p>
        </w:tc>
      </w:tr>
      <w:tr w14:paraId="466FB41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83F4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C9A4E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23A2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D42C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6BFB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F360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EBCF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20A1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B528D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6320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E706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254B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DFB1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72A318"/>
        </w:tc>
      </w:tr>
      <w:tr w14:paraId="3DD10EB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4471F">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4F3C8">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71073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CA682">
            <w:pPr>
              <w:spacing w:before="0" w:after="0" w:line="240" w:lineRule="auto"/>
              <w:jc w:val="center"/>
            </w:pPr>
            <w:r>
              <w:rPr>
                <w:rFonts w:ascii="宋体" w:hAnsi="宋体" w:eastAsia="宋体"/>
                <w:b w:val="0"/>
                <w:i w:val="0"/>
                <w:sz w:val="18"/>
              </w:rPr>
              <w:t>开展建设项目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D7CC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98F5E">
            <w:pPr>
              <w:spacing w:before="0" w:after="0" w:line="240" w:lineRule="auto"/>
              <w:jc w:val="center"/>
            </w:pPr>
            <w:r>
              <w:rPr>
                <w:rFonts w:ascii="宋体" w:hAnsi="宋体" w:eastAsia="宋体"/>
                <w:b w:val="0"/>
                <w:i w:val="0"/>
                <w:sz w:val="18"/>
              </w:rPr>
              <w:t>&gt;=1项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6B259A">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7EE95F">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DAB9C">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902E9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BF5C8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B1C7A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46595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730CA3">
            <w:pPr>
              <w:spacing w:before="0" w:after="0" w:line="240" w:lineRule="auto"/>
              <w:jc w:val="center"/>
            </w:pPr>
            <w:r>
              <w:rPr>
                <w:rFonts w:ascii="宋体" w:hAnsi="宋体" w:eastAsia="宋体"/>
                <w:b w:val="0"/>
                <w:i w:val="0"/>
                <w:sz w:val="18"/>
              </w:rPr>
              <w:t>金银路办公楼拟移交新疆轻工学院，此项工程暂不予开展</w:t>
            </w:r>
          </w:p>
        </w:tc>
      </w:tr>
      <w:tr w14:paraId="525C323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870B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3C784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2EB5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AA9D01">
            <w:pPr>
              <w:spacing w:before="0" w:after="0" w:line="240" w:lineRule="auto"/>
              <w:jc w:val="center"/>
            </w:pPr>
            <w:r>
              <w:rPr>
                <w:rFonts w:ascii="宋体" w:hAnsi="宋体" w:eastAsia="宋体"/>
                <w:b w:val="0"/>
                <w:i w:val="0"/>
                <w:sz w:val="18"/>
              </w:rPr>
              <w:t>保障职工人数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42DE8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0AEDD6">
            <w:pPr>
              <w:spacing w:before="0" w:after="0" w:line="240" w:lineRule="auto"/>
              <w:jc w:val="center"/>
            </w:pPr>
            <w:r>
              <w:rPr>
                <w:rFonts w:ascii="宋体" w:hAnsi="宋体" w:eastAsia="宋体"/>
                <w:b w:val="0"/>
                <w:i w:val="0"/>
                <w:sz w:val="18"/>
              </w:rPr>
              <w:t>&gt;=44人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C363D">
            <w:pPr>
              <w:spacing w:before="0" w:after="0" w:line="240" w:lineRule="auto"/>
              <w:jc w:val="center"/>
            </w:pPr>
            <w:r>
              <w:rPr>
                <w:rFonts w:ascii="宋体" w:hAnsi="宋体" w:eastAsia="宋体"/>
                <w:b w:val="0"/>
                <w:i w:val="0"/>
                <w:sz w:val="18"/>
              </w:rPr>
              <w:t>=44人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F06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E9E9F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1CEB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A83031">
            <w:pPr>
              <w:spacing w:before="0" w:after="0" w:line="240" w:lineRule="auto"/>
              <w:jc w:val="center"/>
            </w:pPr>
            <w:r>
              <w:rPr>
                <w:rFonts w:ascii="宋体" w:hAnsi="宋体" w:eastAsia="宋体"/>
                <w:b w:val="0"/>
                <w:i w:val="0"/>
                <w:sz w:val="18"/>
              </w:rPr>
              <w:t>44人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E970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996A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17B61">
            <w:pPr>
              <w:spacing w:before="0" w:after="0" w:line="240" w:lineRule="auto"/>
              <w:jc w:val="center"/>
            </w:pPr>
          </w:p>
        </w:tc>
      </w:tr>
      <w:tr w14:paraId="5E2565E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12C4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8F850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C65A3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FEDE4">
            <w:pPr>
              <w:spacing w:before="0" w:after="0" w:line="240" w:lineRule="auto"/>
              <w:jc w:val="center"/>
            </w:pPr>
            <w:r>
              <w:rPr>
                <w:rFonts w:ascii="宋体" w:hAnsi="宋体" w:eastAsia="宋体"/>
                <w:b w:val="0"/>
                <w:i w:val="0"/>
                <w:sz w:val="18"/>
              </w:rPr>
              <w:t>办公楼维修改造面积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C97C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2E208">
            <w:pPr>
              <w:spacing w:before="0" w:after="0" w:line="240" w:lineRule="auto"/>
              <w:jc w:val="center"/>
            </w:pPr>
            <w:r>
              <w:rPr>
                <w:rFonts w:ascii="宋体" w:hAnsi="宋体" w:eastAsia="宋体"/>
                <w:b w:val="0"/>
                <w:i w:val="0"/>
                <w:sz w:val="18"/>
              </w:rPr>
              <w:t>=782.65平方米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A986C0">
            <w:pPr>
              <w:spacing w:before="0" w:after="0" w:line="240" w:lineRule="auto"/>
              <w:jc w:val="center"/>
            </w:pPr>
            <w:r>
              <w:rPr>
                <w:rFonts w:ascii="宋体" w:hAnsi="宋体" w:eastAsia="宋体"/>
                <w:b w:val="0"/>
                <w:i w:val="0"/>
                <w:sz w:val="18"/>
              </w:rPr>
              <w:t>=782.65平方米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889B3">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F3209">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982E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01D6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D1DBF6">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9AF4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8A12C6">
            <w:pPr>
              <w:spacing w:before="0" w:after="0" w:line="240" w:lineRule="auto"/>
              <w:jc w:val="center"/>
            </w:pPr>
            <w:r>
              <w:rPr>
                <w:rFonts w:ascii="宋体" w:hAnsi="宋体" w:eastAsia="宋体"/>
                <w:b w:val="0"/>
                <w:i w:val="0"/>
                <w:sz w:val="18"/>
              </w:rPr>
              <w:t>金银路办公楼拟移交新疆轻工学院，此项工程暂不予开展</w:t>
            </w:r>
          </w:p>
        </w:tc>
      </w:tr>
      <w:tr w14:paraId="5B3316C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7011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7894D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E257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DF625">
            <w:pPr>
              <w:spacing w:before="0" w:after="0" w:line="240" w:lineRule="auto"/>
              <w:jc w:val="center"/>
            </w:pPr>
            <w:r>
              <w:rPr>
                <w:rFonts w:ascii="宋体" w:hAnsi="宋体" w:eastAsia="宋体"/>
                <w:b w:val="0"/>
                <w:i w:val="0"/>
                <w:sz w:val="18"/>
              </w:rPr>
              <w:t>外聘人员数量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AFB2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B30BF">
            <w:pPr>
              <w:spacing w:before="0" w:after="0" w:line="240" w:lineRule="auto"/>
              <w:jc w:val="center"/>
            </w:pPr>
            <w:r>
              <w:rPr>
                <w:rFonts w:ascii="宋体" w:hAnsi="宋体" w:eastAsia="宋体"/>
                <w:b w:val="0"/>
                <w:i w:val="0"/>
                <w:sz w:val="18"/>
              </w:rPr>
              <w:t>&gt;=8人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FD11C">
            <w:pPr>
              <w:spacing w:before="0" w:after="0" w:line="240" w:lineRule="auto"/>
              <w:jc w:val="center"/>
            </w:pPr>
            <w:r>
              <w:rPr>
                <w:rFonts w:ascii="宋体" w:hAnsi="宋体" w:eastAsia="宋体"/>
                <w:b w:val="0"/>
                <w:i w:val="0"/>
                <w:sz w:val="18"/>
              </w:rPr>
              <w:t>=8人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CB26F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0D10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203D1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51215">
            <w:pPr>
              <w:spacing w:before="0" w:after="0" w:line="240" w:lineRule="auto"/>
              <w:jc w:val="center"/>
            </w:pPr>
            <w:r>
              <w:rPr>
                <w:rFonts w:ascii="宋体" w:hAnsi="宋体" w:eastAsia="宋体"/>
                <w:b w:val="0"/>
                <w:i w:val="0"/>
                <w:sz w:val="18"/>
              </w:rPr>
              <w:t>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7EE8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D474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395F8">
            <w:pPr>
              <w:spacing w:before="0" w:after="0" w:line="240" w:lineRule="auto"/>
              <w:jc w:val="center"/>
            </w:pPr>
          </w:p>
        </w:tc>
      </w:tr>
      <w:tr w14:paraId="71E49B2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EF16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4E0CA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40FFE2">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868A2">
            <w:pPr>
              <w:spacing w:before="0" w:after="0" w:line="240" w:lineRule="auto"/>
              <w:jc w:val="center"/>
            </w:pPr>
            <w:r>
              <w:rPr>
                <w:rFonts w:ascii="宋体" w:hAnsi="宋体" w:eastAsia="宋体"/>
                <w:b w:val="0"/>
                <w:i w:val="0"/>
                <w:sz w:val="18"/>
              </w:rPr>
              <w:t>维修改造验收合格率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DB7D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E0AB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7E64F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D44023">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B12EF">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E0F87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1BBE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B834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F43D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517DD">
            <w:pPr>
              <w:spacing w:before="0" w:after="0" w:line="240" w:lineRule="auto"/>
              <w:jc w:val="center"/>
            </w:pPr>
            <w:r>
              <w:rPr>
                <w:rFonts w:ascii="宋体" w:hAnsi="宋体" w:eastAsia="宋体"/>
                <w:b w:val="0"/>
                <w:i w:val="0"/>
                <w:sz w:val="18"/>
              </w:rPr>
              <w:t>金银路办公楼拟移交新疆轻工学院，此项工程暂不予开展</w:t>
            </w:r>
          </w:p>
        </w:tc>
      </w:tr>
      <w:tr w14:paraId="6A5D748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6702A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1CC97">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77F6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12C8B">
            <w:pPr>
              <w:spacing w:before="0" w:after="0" w:line="240" w:lineRule="auto"/>
              <w:jc w:val="center"/>
            </w:pPr>
            <w:r>
              <w:rPr>
                <w:rFonts w:ascii="宋体" w:hAnsi="宋体" w:eastAsia="宋体"/>
                <w:b w:val="0"/>
                <w:i w:val="0"/>
                <w:sz w:val="18"/>
              </w:rPr>
              <w:t>保障职工人均经费标准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7E96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F22F81">
            <w:pPr>
              <w:spacing w:before="0" w:after="0" w:line="240" w:lineRule="auto"/>
              <w:jc w:val="center"/>
            </w:pPr>
            <w:r>
              <w:rPr>
                <w:rFonts w:ascii="宋体" w:hAnsi="宋体" w:eastAsia="宋体"/>
                <w:b w:val="0"/>
                <w:i w:val="0"/>
                <w:sz w:val="18"/>
              </w:rPr>
              <w:t>&lt;=8.5万元/人/月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3FF49">
            <w:pPr>
              <w:spacing w:before="0" w:after="0" w:line="240" w:lineRule="auto"/>
              <w:jc w:val="center"/>
            </w:pPr>
            <w:r>
              <w:rPr>
                <w:rFonts w:ascii="宋体" w:hAnsi="宋体" w:eastAsia="宋体"/>
                <w:b w:val="0"/>
                <w:i w:val="0"/>
                <w:sz w:val="18"/>
              </w:rPr>
              <w:t>=8.5万元/人/月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454A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D184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035C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626A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8483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8685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BD3C9">
            <w:pPr>
              <w:spacing w:before="0" w:after="0" w:line="240" w:lineRule="auto"/>
              <w:jc w:val="center"/>
            </w:pPr>
          </w:p>
        </w:tc>
      </w:tr>
      <w:tr w14:paraId="1055E54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F2BC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16D44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98F2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CAB91">
            <w:pPr>
              <w:spacing w:before="0" w:after="0" w:line="240" w:lineRule="auto"/>
              <w:jc w:val="center"/>
            </w:pPr>
            <w:r>
              <w:rPr>
                <w:rFonts w:ascii="宋体" w:hAnsi="宋体" w:eastAsia="宋体"/>
                <w:b w:val="0"/>
                <w:i w:val="0"/>
                <w:sz w:val="18"/>
              </w:rPr>
              <w:t>外聘人员工资标准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F570F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4C4372">
            <w:pPr>
              <w:spacing w:before="0" w:after="0" w:line="240" w:lineRule="auto"/>
              <w:jc w:val="center"/>
            </w:pPr>
            <w:r>
              <w:rPr>
                <w:rFonts w:ascii="宋体" w:hAnsi="宋体" w:eastAsia="宋体"/>
                <w:b w:val="0"/>
                <w:i w:val="0"/>
                <w:sz w:val="18"/>
              </w:rPr>
              <w:t>=2700-4600元/人/月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9892B">
            <w:pPr>
              <w:spacing w:before="0" w:after="0" w:line="240" w:lineRule="auto"/>
              <w:jc w:val="center"/>
            </w:pPr>
            <w:r>
              <w:rPr>
                <w:rFonts w:ascii="宋体" w:hAnsi="宋体" w:eastAsia="宋体"/>
                <w:b w:val="0"/>
                <w:i w:val="0"/>
                <w:sz w:val="18"/>
              </w:rPr>
              <w:t>=2700-4600元/人/月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799B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773D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2797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286D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38BC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7B59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FFE49">
            <w:pPr>
              <w:spacing w:before="0" w:after="0" w:line="240" w:lineRule="auto"/>
              <w:jc w:val="center"/>
            </w:pPr>
          </w:p>
        </w:tc>
      </w:tr>
      <w:tr w14:paraId="2EDAFBB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80299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CA959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8264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EC0FE">
            <w:pPr>
              <w:spacing w:before="0" w:after="0" w:line="240" w:lineRule="auto"/>
              <w:jc w:val="center"/>
            </w:pPr>
            <w:r>
              <w:rPr>
                <w:rFonts w:ascii="宋体" w:hAnsi="宋体" w:eastAsia="宋体"/>
                <w:b w:val="0"/>
                <w:i w:val="0"/>
                <w:sz w:val="18"/>
              </w:rPr>
              <w:t>薄型风管天井式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630A1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4F141E">
            <w:pPr>
              <w:spacing w:before="0" w:after="0" w:line="240" w:lineRule="auto"/>
              <w:jc w:val="center"/>
            </w:pPr>
            <w:r>
              <w:rPr>
                <w:rFonts w:ascii="宋体" w:hAnsi="宋体" w:eastAsia="宋体"/>
                <w:b w:val="0"/>
                <w:i w:val="0"/>
                <w:sz w:val="18"/>
              </w:rPr>
              <w:t>=1810元/个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5E750">
            <w:pPr>
              <w:spacing w:before="0" w:after="0" w:line="240" w:lineRule="auto"/>
              <w:jc w:val="center"/>
            </w:pPr>
            <w:r>
              <w:rPr>
                <w:rFonts w:ascii="宋体" w:hAnsi="宋体" w:eastAsia="宋体"/>
                <w:b w:val="0"/>
                <w:i w:val="0"/>
                <w:sz w:val="18"/>
              </w:rPr>
              <w:t>=1810元/个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01BBBA">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0DBD9">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AA83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E785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829F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33A9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86DA7">
            <w:pPr>
              <w:spacing w:before="0" w:after="0" w:line="240" w:lineRule="auto"/>
              <w:jc w:val="center"/>
            </w:pPr>
            <w:r>
              <w:rPr>
                <w:rFonts w:ascii="宋体" w:hAnsi="宋体" w:eastAsia="宋体"/>
                <w:b w:val="0"/>
                <w:i w:val="0"/>
                <w:sz w:val="18"/>
              </w:rPr>
              <w:t>于年底动工</w:t>
            </w:r>
          </w:p>
        </w:tc>
      </w:tr>
      <w:tr w14:paraId="0F53447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82C58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8F2F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3740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5A447E">
            <w:pPr>
              <w:spacing w:before="0" w:after="0" w:line="240" w:lineRule="auto"/>
              <w:jc w:val="center"/>
            </w:pPr>
            <w:r>
              <w:rPr>
                <w:rFonts w:ascii="宋体" w:hAnsi="宋体" w:eastAsia="宋体"/>
                <w:b w:val="0"/>
                <w:i w:val="0"/>
                <w:sz w:val="18"/>
              </w:rPr>
              <w:t>职工满意度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2FF3E">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7B5EC">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D0A69">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9C6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C3E8D">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B2AA4">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7CDB4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89710">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9989A">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4588E">
            <w:pPr>
              <w:spacing w:before="0" w:after="0" w:line="240" w:lineRule="auto"/>
              <w:jc w:val="center"/>
            </w:pPr>
          </w:p>
        </w:tc>
      </w:tr>
      <w:tr w14:paraId="55EB58E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E9476C">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079A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BFCD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001E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160A9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87A8D">
            <w:pPr>
              <w:spacing w:before="0" w:after="0" w:line="240" w:lineRule="auto"/>
              <w:jc w:val="center"/>
            </w:pPr>
            <w:r>
              <w:rPr>
                <w:rFonts w:ascii="宋体" w:hAnsi="宋体" w:eastAsia="宋体"/>
                <w:b w:val="0"/>
                <w:i w:val="0"/>
                <w:sz w:val="18"/>
              </w:rPr>
              <w:t>59.85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91C1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1A6E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EB07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50DE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85CF4">
            <w:pPr>
              <w:spacing w:before="0" w:after="0" w:line="240" w:lineRule="auto"/>
              <w:jc w:val="center"/>
            </w:pPr>
          </w:p>
        </w:tc>
      </w:tr>
    </w:tbl>
    <w:p w14:paraId="1CD2D132">
      <w:r>
        <w:br w:type="page"/>
      </w:r>
    </w:p>
    <w:p w14:paraId="4153B417">
      <w:pPr>
        <w:sectPr>
          <w:type w:val="continuous"/>
          <w:pgSz w:w="11906" w:h="16838"/>
          <w:pgMar w:top="1440" w:right="1800" w:bottom="1440" w:left="1800" w:header="851" w:footer="992" w:gutter="0"/>
          <w:cols w:space="720" w:num="1"/>
          <w:docGrid w:type="lines" w:linePitch="312" w:charSpace="0"/>
        </w:sectPr>
      </w:pPr>
    </w:p>
    <w:p w14:paraId="5C3A54EA">
      <w:pPr>
        <w:spacing w:line="640" w:lineRule="exact"/>
        <w:ind w:firstLine="640"/>
        <w:jc w:val="both"/>
        <w:outlineLvl w:val="2"/>
      </w:pPr>
      <w:r>
        <w:rPr>
          <w:rFonts w:ascii="黑体" w:hAnsi="黑体" w:eastAsia="黑体"/>
          <w:sz w:val="32"/>
        </w:rPr>
        <w:t>十二、其他需说明的事项</w:t>
      </w:r>
    </w:p>
    <w:p w14:paraId="2F69095A">
      <w:pPr>
        <w:spacing w:line="580" w:lineRule="exact"/>
        <w:ind w:firstLine="640"/>
        <w:jc w:val="both"/>
      </w:pPr>
      <w:r>
        <w:rPr>
          <w:rFonts w:ascii="仿宋_GB2312" w:hAnsi="仿宋_GB2312" w:eastAsia="仿宋_GB2312"/>
          <w:b w:val="0"/>
          <w:sz w:val="32"/>
        </w:rPr>
        <w:t>本单位无其他需说明的事项。</w:t>
      </w:r>
    </w:p>
    <w:p w14:paraId="7C5D66DB">
      <w:r>
        <w:br w:type="page"/>
      </w:r>
    </w:p>
    <w:p w14:paraId="7F17A786">
      <w:pPr>
        <w:spacing w:line="600" w:lineRule="exact"/>
        <w:jc w:val="center"/>
        <w:outlineLvl w:val="0"/>
      </w:pPr>
      <w:r>
        <w:rPr>
          <w:rFonts w:ascii="黑体" w:hAnsi="黑体" w:eastAsia="黑体"/>
          <w:sz w:val="32"/>
        </w:rPr>
        <w:t>第三部分 专业名词解释</w:t>
      </w:r>
    </w:p>
    <w:p w14:paraId="6B42593C">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5708F3A8">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649F1C9">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38E1BE01">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82F815D">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B067E5F">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EA87324">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1F63DE37">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0E4ADE5D">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EB36DB3">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D59D82C">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6D135D2">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F534D6D">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489A1376">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42E22C3A">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49E0AE4">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DED99D8">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EA4AC20">
      <w:r>
        <w:br w:type="page"/>
      </w:r>
    </w:p>
    <w:p w14:paraId="63366B16">
      <w:pPr>
        <w:spacing w:line="240" w:lineRule="auto"/>
        <w:jc w:val="center"/>
        <w:outlineLvl w:val="1"/>
      </w:pPr>
      <w:r>
        <w:rPr>
          <w:rFonts w:ascii="黑体" w:hAnsi="黑体" w:eastAsia="黑体"/>
          <w:sz w:val="32"/>
        </w:rPr>
        <w:t>第四部分 部门决算报表（见附表）</w:t>
      </w:r>
    </w:p>
    <w:p w14:paraId="7917BAB6">
      <w:pPr>
        <w:autoSpaceDE w:val="0"/>
        <w:autoSpaceDN w:val="0"/>
        <w:spacing w:line="600" w:lineRule="exact"/>
        <w:ind w:firstLine="640" w:firstLineChars="200"/>
      </w:pPr>
      <w:r>
        <w:rPr>
          <w:rFonts w:ascii="仿宋_GB2312" w:hAnsi="仿宋_GB2312" w:eastAsia="仿宋_GB2312"/>
          <w:b w:val="0"/>
          <w:sz w:val="32"/>
        </w:rPr>
        <w:t>一、《收入支出决算总表》</w:t>
      </w:r>
    </w:p>
    <w:p w14:paraId="2E2FED14">
      <w:pPr>
        <w:autoSpaceDE w:val="0"/>
        <w:autoSpaceDN w:val="0"/>
        <w:spacing w:line="600" w:lineRule="exact"/>
        <w:ind w:firstLine="640" w:firstLineChars="200"/>
      </w:pPr>
      <w:r>
        <w:rPr>
          <w:rFonts w:ascii="仿宋_GB2312" w:hAnsi="仿宋_GB2312" w:eastAsia="仿宋_GB2312"/>
          <w:b w:val="0"/>
          <w:sz w:val="32"/>
        </w:rPr>
        <w:t>二、《收入决算表》</w:t>
      </w:r>
    </w:p>
    <w:p w14:paraId="25470E91">
      <w:pPr>
        <w:autoSpaceDE w:val="0"/>
        <w:autoSpaceDN w:val="0"/>
        <w:spacing w:line="600" w:lineRule="exact"/>
        <w:ind w:firstLine="640" w:firstLineChars="200"/>
      </w:pPr>
      <w:r>
        <w:rPr>
          <w:rFonts w:ascii="仿宋_GB2312" w:hAnsi="仿宋_GB2312" w:eastAsia="仿宋_GB2312"/>
          <w:b w:val="0"/>
          <w:sz w:val="32"/>
        </w:rPr>
        <w:t>三、《支出决算表》</w:t>
      </w:r>
    </w:p>
    <w:p w14:paraId="4CC855AE">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6A6FAAB">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405D1B5">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C9CB05E">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41DE1968">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C0645A1">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31644B10">
      <w:pPr>
        <w:autoSpaceDE w:val="0"/>
        <w:autoSpaceDN w:val="0"/>
        <w:spacing w:line="600" w:lineRule="exact"/>
        <w:ind w:firstLine="640" w:firstLineChars="200"/>
      </w:pPr>
    </w:p>
    <w:p w14:paraId="55A230B1">
      <w:pPr>
        <w:autoSpaceDE w:val="0"/>
        <w:autoSpaceDN w:val="0"/>
        <w:spacing w:line="600" w:lineRule="exact"/>
        <w:ind w:firstLine="640" w:firstLineChars="200"/>
      </w:pPr>
    </w:p>
    <w:p w14:paraId="2B2107AA">
      <w:pPr>
        <w:autoSpaceDE w:val="0"/>
        <w:autoSpaceDN w:val="0"/>
        <w:spacing w:line="600" w:lineRule="exact"/>
        <w:ind w:firstLine="640" w:firstLineChars="200"/>
      </w:pPr>
    </w:p>
    <w:p w14:paraId="7EED85EB">
      <w:pPr>
        <w:autoSpaceDE w:val="0"/>
        <w:autoSpaceDN w:val="0"/>
        <w:spacing w:line="600" w:lineRule="exact"/>
        <w:ind w:firstLine="640" w:firstLineChars="200"/>
      </w:pPr>
    </w:p>
    <w:p w14:paraId="70AA212F">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AD1017-5DFA-4342-9CA6-E1DDD5CD59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C78EF77-9D6E-4BB6-AB10-519A83A8928B}"/>
  </w:font>
  <w:font w:name="仿宋_GB2312">
    <w:panose1 w:val="02010609030101010101"/>
    <w:charset w:val="86"/>
    <w:family w:val="modern"/>
    <w:pitch w:val="default"/>
    <w:sig w:usb0="00000001" w:usb1="080E0000" w:usb2="00000000" w:usb3="00000000" w:csb0="00040000" w:csb1="00000000"/>
    <w:embedRegular r:id="rId3" w:fontKey="{CCE1B894-B997-478E-9AC2-276A32333E1C}"/>
  </w:font>
  <w:font w:name="楷体_GB2312">
    <w:altName w:val="楷体"/>
    <w:panose1 w:val="00000000000000000000"/>
    <w:charset w:val="00"/>
    <w:family w:val="auto"/>
    <w:pitch w:val="default"/>
    <w:sig w:usb0="00000000" w:usb1="00000000" w:usb2="00000000" w:usb3="00000000" w:csb0="00000000" w:csb1="00000000"/>
    <w:embedRegular r:id="rId4" w:fontKey="{2FA72D10-AE3A-45A1-BCBD-2575A47F7F33}"/>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1D77F1"/>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9CE56F9"/>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7FB6693"/>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254e6797-d821-4fd7-a627-bfa6234c087f</errorID>
      <errorWord>2月31日</errorWord>
      <group>L1_Sensitive</group>
      <groupName>敏感问题</groupName>
      <ability>L2_UserSensitive</ability>
      <abilityName>自定义敏感词</abilityName>
      <candidateList/>
      <explain>来自自定义敏感词库。</explain>
      <paraID>70E17D6D</paraID>
      <start>8</start>
      <end>13</end>
      <status>ignored</status>
      <modifiedWord/>
      <trackRevisions>false</trackRevisions>
    </reviewItem>
    <reviewItem>
      <errorID>878294d9-8cb2-41d9-aeda-13ae9791059e</errorID>
      <errorWord>监控</errorWord>
      <group>L1_Sensitive</group>
      <groupName>敏感问题</groupName>
      <ability>L2_UserSensitive</ability>
      <abilityName>自定义敏感词</abilityName>
      <candidateList/>
      <explain>来自自定义敏感词库。</explain>
      <paraID>7AC23CCF</paraID>
      <start>122</start>
      <end>124</end>
      <status>ignored</status>
      <modifiedWord/>
      <trackRevisions>false</trackRevisions>
    </reviewItem>
    <reviewItem>
      <errorID>a5ed7d8d-6230-49a3-8304-d60d8c74f7f5</errorID>
      <errorWord>监控</errorWord>
      <group>L1_Sensitive</group>
      <groupName>敏感问题</groupName>
      <ability>L2_UserSensitive</ability>
      <abilityName>自定义敏感词</abilityName>
      <candidateList/>
      <explain>来自自定义敏感词库。</explain>
      <paraID>7AC23CCF</paraID>
      <start>197</start>
      <end>199</end>
      <status>ignored</status>
      <modifiedWord/>
      <trackRevisions>false</trackRevisions>
    </reviewItem>
    <reviewItem>
      <errorID>d4c7155d-e491-42d8-bfc1-7666a0a0ab7a</errorID>
      <errorWord>-</errorWord>
      <group>L1_Format</group>
      <groupName>格式问题</groupName>
      <ability>L2_HalfPunc_CN</ability>
      <abilityName>全半角问题</abilityName>
      <candidateList>
        <item>－</item>
      </candidateList>
      <explain>文本全半角错误。</explain>
      <paraID>1D2495A5</paraID>
      <start>5</start>
      <end>6</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e11b0-e49d-4483-9971-1a70b2d01cab}">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8051</Words>
  <Characters>9115</Characters>
  <Lines>10</Lines>
  <Paragraphs>2</Paragraphs>
  <TotalTime>9</TotalTime>
  <ScaleCrop>false</ScaleCrop>
  <LinksUpToDate>false</LinksUpToDate>
  <CharactersWithSpaces>9128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2026-09-03T04:23:47Z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