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新疆开放大学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FE1014B">
      <w:r>
        <w:br w:type="page"/>
      </w:r>
    </w:p>
    <w:p w14:paraId="755FF68E">
      <w:pPr>
        <w:spacing w:line="640" w:lineRule="exact"/>
        <w:jc w:val="center"/>
        <w:outlineLvl w:val="1"/>
      </w:pPr>
      <w:r>
        <w:rPr>
          <w:rFonts w:ascii="黑体" w:hAnsi="黑体" w:eastAsia="黑体"/>
          <w:sz w:val="32"/>
        </w:rPr>
        <w:t>第一部分 单位概况</w:t>
      </w:r>
    </w:p>
    <w:p w14:paraId="7F7C463B">
      <w:pPr>
        <w:spacing w:line="640" w:lineRule="exact"/>
        <w:ind w:firstLine="640"/>
        <w:jc w:val="both"/>
        <w:outlineLvl w:val="2"/>
      </w:pPr>
      <w:r>
        <w:rPr>
          <w:rFonts w:ascii="黑体" w:hAnsi="黑体" w:eastAsia="黑体"/>
          <w:sz w:val="32"/>
        </w:rPr>
        <w:t>一、主要职能</w:t>
      </w:r>
    </w:p>
    <w:p w14:paraId="5141C0D7">
      <w:pPr>
        <w:spacing w:line="580" w:lineRule="exact"/>
        <w:ind w:firstLine="640"/>
        <w:jc w:val="both"/>
      </w:pPr>
      <w:r>
        <w:rPr>
          <w:rFonts w:ascii="仿宋_GB2312" w:hAnsi="仿宋_GB2312" w:eastAsia="仿宋_GB2312"/>
          <w:sz w:val="32"/>
        </w:rPr>
        <w:t>新疆开放大学成立于1979年1月，前身为新疆广播电视大学，于2020年12月更名，是经自治区人民政府批准、受自治区教育厅管理和国家开放大学业务指导，以促进终身学习为使命、以现代信息技术为支撑、以“互联网+教育”为特征，坚持学历教育与非学历教育并重发展，面向全疆开展开放教育的新型高等学校。</w:t>
      </w:r>
    </w:p>
    <w:p w14:paraId="643DEDBB">
      <w:pPr>
        <w:spacing w:line="640" w:lineRule="exact"/>
        <w:ind w:firstLine="640"/>
        <w:jc w:val="both"/>
        <w:outlineLvl w:val="2"/>
      </w:pPr>
      <w:r>
        <w:rPr>
          <w:rFonts w:ascii="黑体" w:hAnsi="黑体" w:eastAsia="黑体"/>
          <w:sz w:val="32"/>
        </w:rPr>
        <w:t>二、机构设置</w:t>
      </w:r>
    </w:p>
    <w:p w14:paraId="626E692E">
      <w:pPr>
        <w:spacing w:line="580" w:lineRule="exact"/>
        <w:ind w:firstLine="640"/>
        <w:jc w:val="both"/>
      </w:pPr>
      <w:r>
        <w:rPr>
          <w:rFonts w:ascii="仿宋_GB2312" w:hAnsi="仿宋_GB2312" w:eastAsia="仿宋_GB2312"/>
          <w:sz w:val="32"/>
        </w:rPr>
        <w:t>新疆开放大学无下属预算单位。</w:t>
      </w:r>
    </w:p>
    <w:p w14:paraId="356990EE">
      <w:r>
        <w:br w:type="page"/>
      </w:r>
    </w:p>
    <w:p w14:paraId="1CE11D1E">
      <w:pPr>
        <w:spacing w:line="240" w:lineRule="auto"/>
        <w:jc w:val="center"/>
        <w:outlineLvl w:val="1"/>
      </w:pPr>
      <w:r>
        <w:rPr>
          <w:rFonts w:ascii="黑体" w:hAnsi="黑体" w:eastAsia="黑体"/>
          <w:sz w:val="32"/>
        </w:rPr>
        <w:t>第二部分 部门决算情况说明</w:t>
      </w:r>
    </w:p>
    <w:p w14:paraId="3A46E3AA">
      <w:pPr>
        <w:spacing w:line="640" w:lineRule="exact"/>
        <w:ind w:firstLine="640"/>
        <w:jc w:val="both"/>
        <w:outlineLvl w:val="2"/>
      </w:pPr>
      <w:r>
        <w:rPr>
          <w:rFonts w:ascii="黑体" w:hAnsi="黑体" w:eastAsia="黑体"/>
          <w:sz w:val="32"/>
        </w:rPr>
        <w:t>一、收入支出决算总体情况说明</w:t>
      </w:r>
    </w:p>
    <w:p w14:paraId="3FDBCD98">
      <w:pPr>
        <w:spacing w:line="580" w:lineRule="exact"/>
        <w:ind w:firstLine="640"/>
        <w:jc w:val="both"/>
      </w:pPr>
      <w:r>
        <w:rPr>
          <w:rFonts w:ascii="仿宋_GB2312" w:hAnsi="仿宋_GB2312" w:eastAsia="仿宋_GB2312"/>
          <w:b/>
          <w:sz w:val="32"/>
        </w:rPr>
        <w:t>2025年度收入总计20,289.27万元，</w:t>
      </w:r>
      <w:r>
        <w:rPr>
          <w:rFonts w:ascii="仿宋_GB2312" w:hAnsi="仿宋_GB2312" w:eastAsia="仿宋_GB2312"/>
          <w:b w:val="0"/>
          <w:sz w:val="32"/>
        </w:rPr>
        <w:t>其中：本年收入合计19,790.92万元，使用非财政拨款结余（含专用结余）0.00万元，年初结转和结余498.35万元。</w:t>
      </w:r>
    </w:p>
    <w:p w14:paraId="4DBF3648">
      <w:pPr>
        <w:spacing w:line="580" w:lineRule="exact"/>
        <w:ind w:firstLine="640"/>
        <w:jc w:val="both"/>
      </w:pPr>
      <w:r>
        <w:rPr>
          <w:rFonts w:ascii="仿宋_GB2312" w:hAnsi="仿宋_GB2312" w:eastAsia="仿宋_GB2312"/>
          <w:b/>
          <w:sz w:val="32"/>
        </w:rPr>
        <w:t>2025年度支出总计20,289.27万元，</w:t>
      </w:r>
      <w:r>
        <w:rPr>
          <w:rFonts w:ascii="仿宋_GB2312" w:hAnsi="仿宋_GB2312" w:eastAsia="仿宋_GB2312"/>
          <w:b w:val="0"/>
          <w:sz w:val="32"/>
        </w:rPr>
        <w:t>其中：本年支出合计19,356.10万元，结余分配0.00万元，年末结转和结余933.17万元。</w:t>
      </w:r>
    </w:p>
    <w:p w14:paraId="1E7DE90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增加1,244.31万元，增长6.53%，主要原因是：本年增加基本建设及校园维修项目、教学业务及专业建设项目。</w:t>
      </w:r>
    </w:p>
    <w:p w14:paraId="5FA206E0">
      <w:pPr>
        <w:spacing w:line="640" w:lineRule="exact"/>
        <w:ind w:firstLine="640"/>
        <w:jc w:val="both"/>
        <w:outlineLvl w:val="2"/>
      </w:pPr>
      <w:r>
        <w:rPr>
          <w:rFonts w:ascii="黑体" w:hAnsi="黑体" w:eastAsia="黑体"/>
          <w:sz w:val="32"/>
        </w:rPr>
        <w:t>二、收入决算情况说明</w:t>
      </w:r>
    </w:p>
    <w:p w14:paraId="2B3D7906">
      <w:pPr>
        <w:spacing w:line="580" w:lineRule="exact"/>
        <w:ind w:firstLine="640"/>
        <w:jc w:val="both"/>
      </w:pPr>
      <w:r>
        <w:rPr>
          <w:rFonts w:ascii="仿宋_GB2312" w:hAnsi="仿宋_GB2312" w:eastAsia="仿宋_GB2312"/>
          <w:b/>
          <w:sz w:val="32"/>
        </w:rPr>
        <w:t>本年收入19,790.92万元，</w:t>
      </w:r>
      <w:r>
        <w:rPr>
          <w:rFonts w:ascii="仿宋_GB2312" w:hAnsi="仿宋_GB2312" w:eastAsia="仿宋_GB2312"/>
          <w:b w:val="0"/>
          <w:sz w:val="32"/>
        </w:rPr>
        <w:t>其中：财政拨款收入2,976.43万元，占15.04%；上级补助收入0.00万元，占0.00%；事业收入16,210.12万元，占81.91%；经营收入0.00万元，占0.00%；附属单位上缴收入0.00万元，占0.00%；其他收入604.38万元，占3.05%。</w:t>
      </w:r>
    </w:p>
    <w:p w14:paraId="142229AD">
      <w:pPr>
        <w:spacing w:line="640" w:lineRule="exact"/>
        <w:ind w:firstLine="640"/>
        <w:jc w:val="both"/>
        <w:outlineLvl w:val="2"/>
      </w:pPr>
      <w:r>
        <w:rPr>
          <w:rFonts w:ascii="黑体" w:hAnsi="黑体" w:eastAsia="黑体"/>
          <w:sz w:val="32"/>
        </w:rPr>
        <w:t>三、支出决算情况说明</w:t>
      </w:r>
    </w:p>
    <w:p w14:paraId="24439670">
      <w:pPr>
        <w:spacing w:line="580" w:lineRule="exact"/>
        <w:ind w:firstLine="640"/>
        <w:jc w:val="both"/>
      </w:pPr>
      <w:r>
        <w:rPr>
          <w:rFonts w:ascii="仿宋_GB2312" w:hAnsi="仿宋_GB2312" w:eastAsia="仿宋_GB2312"/>
          <w:b/>
          <w:sz w:val="32"/>
        </w:rPr>
        <w:t>本年支出19,356.10万元，</w:t>
      </w:r>
      <w:r>
        <w:rPr>
          <w:rFonts w:ascii="仿宋_GB2312" w:hAnsi="仿宋_GB2312" w:eastAsia="仿宋_GB2312"/>
          <w:b w:val="0"/>
          <w:sz w:val="32"/>
        </w:rPr>
        <w:t>其中：基本支出6,461.91万元，占33.38%；项目支出12,894.20万元，占66.62%；上缴上级支出0.00万元，占0.00%；经营支出0.00万元，占0.00%；对附属单位补助支出0.00万元，占0.00%。</w:t>
      </w:r>
    </w:p>
    <w:p w14:paraId="59BCCC2D">
      <w:pPr>
        <w:spacing w:line="640" w:lineRule="exact"/>
        <w:ind w:firstLine="640"/>
        <w:jc w:val="both"/>
        <w:outlineLvl w:val="2"/>
      </w:pPr>
      <w:r>
        <w:rPr>
          <w:rFonts w:ascii="黑体" w:hAnsi="黑体" w:eastAsia="黑体"/>
          <w:sz w:val="32"/>
        </w:rPr>
        <w:t>四、财政拨款收入支出决算总体情况说明</w:t>
      </w:r>
    </w:p>
    <w:p w14:paraId="0DA5523D">
      <w:pPr>
        <w:spacing w:line="580" w:lineRule="exact"/>
        <w:ind w:firstLine="640"/>
        <w:jc w:val="both"/>
      </w:pPr>
      <w:r>
        <w:rPr>
          <w:rFonts w:ascii="仿宋_GB2312" w:hAnsi="仿宋_GB2312" w:eastAsia="仿宋_GB2312"/>
          <w:b/>
          <w:sz w:val="32"/>
        </w:rPr>
        <w:t>2025年度财政拨款收入总计2,976.43万元，</w:t>
      </w:r>
      <w:r>
        <w:rPr>
          <w:rFonts w:ascii="仿宋_GB2312" w:hAnsi="仿宋_GB2312" w:eastAsia="仿宋_GB2312"/>
          <w:b w:val="0"/>
          <w:sz w:val="32"/>
        </w:rPr>
        <w:t>其中：年初财政拨款结转和结余0.00万元，本年财政拨款收入2,976.43万元。</w:t>
      </w:r>
      <w:r>
        <w:rPr>
          <w:rFonts w:ascii="仿宋_GB2312" w:hAnsi="仿宋_GB2312" w:eastAsia="仿宋_GB2312"/>
          <w:b/>
          <w:sz w:val="32"/>
        </w:rPr>
        <w:t>财政拨款支出总计2,976.43万元，</w:t>
      </w:r>
      <w:r>
        <w:rPr>
          <w:rFonts w:ascii="仿宋_GB2312" w:hAnsi="仿宋_GB2312" w:eastAsia="仿宋_GB2312"/>
          <w:b w:val="0"/>
          <w:sz w:val="32"/>
        </w:rPr>
        <w:t>其中：年末财政拨款结转和结余0.00万元，本年财政拨款支出2,976.43万元。</w:t>
      </w:r>
    </w:p>
    <w:p w14:paraId="0468D2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减少43.05万元，下降1.43%，主要原因是：本年减少中小学幼儿园教师培训项目、中央现代职业教育质量提升计划、自治区职业教育专项的资金支持。</w:t>
      </w:r>
      <w:r>
        <w:rPr>
          <w:rFonts w:ascii="仿宋_GB2312" w:hAnsi="仿宋_GB2312" w:eastAsia="仿宋_GB2312"/>
          <w:b/>
          <w:sz w:val="32"/>
        </w:rPr>
        <w:t>与年初预算相比，</w:t>
      </w:r>
      <w:r>
        <w:rPr>
          <w:rFonts w:ascii="仿宋_GB2312" w:hAnsi="仿宋_GB2312" w:eastAsia="仿宋_GB2312"/>
          <w:b w:val="0"/>
          <w:sz w:val="32"/>
        </w:rPr>
        <w:t>年初预算数2,808.00万元，决算数2,976.43万元，预决算差异率6.00%，主要原因是：年中追加人员工资、社保、公积金基数调增部分资金，导致预决算存在差异。追加为民办实事工作经费、结对认亲交通费、2025年中小学幼儿园教师国家级培训计划资金（国培计划）。</w:t>
      </w:r>
    </w:p>
    <w:p w14:paraId="2030E0BF">
      <w:pPr>
        <w:spacing w:line="640" w:lineRule="exact"/>
        <w:ind w:firstLine="640"/>
        <w:jc w:val="both"/>
        <w:outlineLvl w:val="2"/>
      </w:pPr>
      <w:r>
        <w:rPr>
          <w:rFonts w:ascii="黑体" w:hAnsi="黑体" w:eastAsia="黑体"/>
          <w:sz w:val="32"/>
        </w:rPr>
        <w:t>五、一般公共预算财政拨款支出决算情况说明</w:t>
      </w:r>
    </w:p>
    <w:p w14:paraId="70EBBCC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开展学历教育和非学历教育等重点支出，体现在有关支出科目中。</w:t>
      </w:r>
    </w:p>
    <w:p w14:paraId="34BE303A">
      <w:pPr>
        <w:spacing w:line="580" w:lineRule="exact"/>
        <w:ind w:firstLine="640"/>
        <w:jc w:val="both"/>
      </w:pPr>
      <w:r>
        <w:rPr>
          <w:rFonts w:ascii="仿宋_GB2312" w:hAnsi="仿宋_GB2312" w:eastAsia="仿宋_GB2312"/>
          <w:b w:val="0"/>
          <w:sz w:val="32"/>
        </w:rPr>
        <w:t>按照支出功能分类，教育支出（类）成人教育（款）成人广播电视教育（项）的支出占本年财政拨款支出总额的比重最高，2025年度决算数为2,932.78万元，占比98.53%，主要用于人员工资福利支出、公用经费。</w:t>
      </w:r>
    </w:p>
    <w:p w14:paraId="1AB31BC9">
      <w:pPr>
        <w:spacing w:line="640" w:lineRule="exact"/>
        <w:ind w:firstLine="640"/>
        <w:jc w:val="both"/>
        <w:outlineLvl w:val="3"/>
      </w:pPr>
      <w:r>
        <w:rPr>
          <w:rFonts w:ascii="楷体_GB2312" w:hAnsi="楷体_GB2312" w:eastAsia="楷体_GB2312"/>
          <w:b/>
          <w:sz w:val="32"/>
        </w:rPr>
        <w:t>（一）一般公共预算财政拨款支出决算总体情况</w:t>
      </w:r>
    </w:p>
    <w:p w14:paraId="26F39B4B">
      <w:pPr>
        <w:spacing w:line="580" w:lineRule="exact"/>
        <w:ind w:firstLine="640"/>
        <w:jc w:val="both"/>
      </w:pPr>
      <w:r>
        <w:rPr>
          <w:rFonts w:ascii="仿宋_GB2312" w:hAnsi="仿宋_GB2312" w:eastAsia="仿宋_GB2312"/>
          <w:b/>
          <w:sz w:val="32"/>
        </w:rPr>
        <w:t>2025年度一般公共预算财政拨款支出2,976.43万元，</w:t>
      </w:r>
      <w:r>
        <w:rPr>
          <w:rFonts w:ascii="仿宋_GB2312" w:hAnsi="仿宋_GB2312" w:eastAsia="仿宋_GB2312"/>
          <w:b w:val="0"/>
          <w:sz w:val="32"/>
        </w:rPr>
        <w:t>占本年支出合计的15.38%。</w:t>
      </w:r>
      <w:r>
        <w:rPr>
          <w:rFonts w:ascii="仿宋_GB2312" w:hAnsi="仿宋_GB2312" w:eastAsia="仿宋_GB2312"/>
          <w:b/>
          <w:sz w:val="32"/>
        </w:rPr>
        <w:t>与上年相比，</w:t>
      </w:r>
      <w:r>
        <w:rPr>
          <w:rFonts w:ascii="仿宋_GB2312" w:hAnsi="仿宋_GB2312" w:eastAsia="仿宋_GB2312"/>
          <w:b w:val="0"/>
          <w:sz w:val="32"/>
        </w:rPr>
        <w:t>减少43.05万元，下降1.43%，主要原因是：本年减少中小学幼儿园教师培训项目、中央现代职业教育质量提升计划、自治区职业教育专项的资金支持。</w:t>
      </w:r>
      <w:r>
        <w:rPr>
          <w:rFonts w:ascii="仿宋_GB2312" w:hAnsi="仿宋_GB2312" w:eastAsia="仿宋_GB2312"/>
          <w:b/>
          <w:sz w:val="32"/>
        </w:rPr>
        <w:t>与年初预算相比，</w:t>
      </w:r>
      <w:r>
        <w:rPr>
          <w:rFonts w:ascii="仿宋_GB2312" w:hAnsi="仿宋_GB2312" w:eastAsia="仿宋_GB2312"/>
          <w:b w:val="0"/>
          <w:sz w:val="32"/>
        </w:rPr>
        <w:t>年初预算数2,808.00万元，决算数2,976.43万元，预决算差异率6.00%，主要原因是：年中追加人员工资、社保、公积金基数调增部分资金，导致预决算存在差异。追加访惠聚工作经费、结对认亲交通费、2025年中小学幼儿园教师国家级培训计划资金（国培计划）。</w:t>
      </w:r>
    </w:p>
    <w:p w14:paraId="044A8823">
      <w:pPr>
        <w:spacing w:line="640" w:lineRule="exact"/>
        <w:ind w:firstLine="640"/>
        <w:jc w:val="both"/>
        <w:outlineLvl w:val="3"/>
      </w:pPr>
      <w:r>
        <w:rPr>
          <w:rFonts w:ascii="楷体_GB2312" w:hAnsi="楷体_GB2312" w:eastAsia="楷体_GB2312"/>
          <w:b/>
          <w:sz w:val="32"/>
        </w:rPr>
        <w:t>（二）一般公共预算财政拨款支出决算结构情况</w:t>
      </w:r>
    </w:p>
    <w:p w14:paraId="39109FFD">
      <w:pPr>
        <w:spacing w:line="580" w:lineRule="exact"/>
        <w:ind w:firstLine="640"/>
        <w:jc w:val="both"/>
      </w:pPr>
      <w:r>
        <w:rPr>
          <w:rFonts w:ascii="仿宋_GB2312" w:hAnsi="仿宋_GB2312" w:eastAsia="仿宋_GB2312"/>
          <w:b w:val="0"/>
          <w:sz w:val="32"/>
        </w:rPr>
        <w:t>1.教育支出（类）2,976.43万元，占100.00%。</w:t>
      </w:r>
    </w:p>
    <w:p w14:paraId="7A2587C1">
      <w:pPr>
        <w:spacing w:line="640" w:lineRule="exact"/>
        <w:ind w:firstLine="640"/>
        <w:jc w:val="both"/>
        <w:outlineLvl w:val="3"/>
      </w:pPr>
      <w:r>
        <w:rPr>
          <w:rFonts w:ascii="楷体_GB2312" w:hAnsi="楷体_GB2312" w:eastAsia="楷体_GB2312"/>
          <w:b/>
          <w:sz w:val="32"/>
        </w:rPr>
        <w:t>（三）一般公共预算财政拨款支出决算具体情况</w:t>
      </w:r>
    </w:p>
    <w:p w14:paraId="2365E6A9">
      <w:pPr>
        <w:spacing w:line="580" w:lineRule="exact"/>
        <w:ind w:firstLine="640"/>
        <w:jc w:val="both"/>
      </w:pPr>
      <w:r>
        <w:rPr>
          <w:rFonts w:ascii="仿宋_GB2312" w:hAnsi="仿宋_GB2312" w:eastAsia="仿宋_GB2312"/>
          <w:b w:val="0"/>
          <w:sz w:val="32"/>
        </w:rPr>
        <w:t>1.教育支出（类）普通教育（款）高等教育（项）：支出决算数为37.65万元，比上年决算减少68.01万元，下降64.37%，主要原因是：本年减少驻村工作经费、结对认亲交通费所致。</w:t>
      </w:r>
    </w:p>
    <w:p w14:paraId="51E55FF6">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2.教育支出（类）普通教育（款）其他普通教育支出（项）：支出决算数为0.00万元，比上年决算减少40.00万元，下降100.00%，主要原因是：本年减少了中小学幼儿园教师培训项目支出。</w:t>
      </w:r>
    </w:p>
    <w:p w14:paraId="30948D73">
      <w:pPr>
        <w:spacing w:line="580" w:lineRule="exact"/>
        <w:ind w:firstLine="640"/>
        <w:jc w:val="both"/>
      </w:pPr>
      <w:r>
        <w:rPr>
          <w:rFonts w:ascii="仿宋_GB2312" w:hAnsi="仿宋_GB2312" w:eastAsia="仿宋_GB2312"/>
          <w:b w:val="0"/>
          <w:sz w:val="32"/>
        </w:rPr>
        <w:t>3.教育支出（类）职业教育（款）高等职业教育（项）：支出决算数为6.00万元，比上年决算减少19.00万元，下降76.00%，主要原因是：本年减少中央现代职业教育质量提升计划的资金支持。</w:t>
      </w:r>
    </w:p>
    <w:p w14:paraId="56C75ECF">
      <w:pPr>
        <w:spacing w:line="580" w:lineRule="exact"/>
        <w:ind w:firstLine="640"/>
        <w:jc w:val="both"/>
      </w:pPr>
      <w:r>
        <w:rPr>
          <w:rFonts w:ascii="仿宋_GB2312" w:hAnsi="仿宋_GB2312" w:eastAsia="仿宋_GB2312"/>
          <w:b w:val="0"/>
          <w:sz w:val="32"/>
        </w:rPr>
        <w:t>4.教育支出（类）成人教育（款）成人广播电视教育（项）：支出决算数为2,932.78万元，比上年决算增加83.96万元，增长2.95%，主要原因是：本年人员工资调增、社保、公积金基数调增，人员经费增加。</w:t>
      </w:r>
    </w:p>
    <w:p w14:paraId="63772C0A">
      <w:pPr>
        <w:spacing w:line="640" w:lineRule="exact"/>
        <w:ind w:firstLine="640"/>
        <w:jc w:val="both"/>
        <w:outlineLvl w:val="2"/>
      </w:pPr>
      <w:r>
        <w:rPr>
          <w:rFonts w:ascii="黑体" w:hAnsi="黑体" w:eastAsia="黑体"/>
          <w:sz w:val="32"/>
        </w:rPr>
        <w:t>六、一般公共预算财政拨款基本支出决算情况说明</w:t>
      </w:r>
    </w:p>
    <w:p w14:paraId="6F3A68F9">
      <w:pPr>
        <w:spacing w:line="580" w:lineRule="exact"/>
        <w:ind w:firstLine="640"/>
        <w:jc w:val="both"/>
      </w:pPr>
      <w:r>
        <w:rPr>
          <w:rFonts w:ascii="仿宋_GB2312" w:hAnsi="仿宋_GB2312" w:eastAsia="仿宋_GB2312"/>
          <w:b w:val="0"/>
          <w:sz w:val="32"/>
        </w:rPr>
        <w:t>2025年度一般公共预算财政拨款基本支出2,532.78万元，其中：</w:t>
      </w:r>
      <w:r>
        <w:rPr>
          <w:rFonts w:ascii="仿宋_GB2312" w:hAnsi="仿宋_GB2312" w:eastAsia="仿宋_GB2312"/>
          <w:b/>
          <w:sz w:val="32"/>
        </w:rPr>
        <w:t>人员经费2,229.74万元，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w:t>
      </w:r>
    </w:p>
    <w:p w14:paraId="2B1788BF">
      <w:pPr>
        <w:spacing w:line="580" w:lineRule="exact"/>
        <w:ind w:firstLine="640"/>
        <w:jc w:val="both"/>
      </w:pPr>
      <w:r>
        <w:rPr>
          <w:rFonts w:ascii="仿宋_GB2312" w:hAnsi="仿宋_GB2312" w:eastAsia="仿宋_GB2312"/>
          <w:b/>
          <w:sz w:val="32"/>
        </w:rPr>
        <w:t>公用经费303.04万元，</w:t>
      </w:r>
      <w:r>
        <w:rPr>
          <w:rFonts w:ascii="仿宋_GB2312" w:hAnsi="仿宋_GB2312" w:eastAsia="仿宋_GB2312"/>
          <w:b w:val="0"/>
          <w:sz w:val="32"/>
        </w:rPr>
        <w:t>包括：取暖费、物业管理费、差旅费、工会经费、福利费、其他商品和服务支出。</w:t>
      </w:r>
    </w:p>
    <w:p w14:paraId="186B0202">
      <w:pPr>
        <w:spacing w:line="640" w:lineRule="exact"/>
        <w:ind w:firstLine="640"/>
        <w:jc w:val="both"/>
        <w:outlineLvl w:val="2"/>
      </w:pPr>
      <w:r>
        <w:rPr>
          <w:rFonts w:ascii="黑体" w:hAnsi="黑体" w:eastAsia="黑体"/>
          <w:sz w:val="32"/>
        </w:rPr>
        <w:t>七、政府性基金预算财政拨款收入支出决算情况说明</w:t>
      </w:r>
    </w:p>
    <w:p w14:paraId="44358DC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3D1C3F">
      <w:pPr>
        <w:spacing w:line="640" w:lineRule="exact"/>
        <w:ind w:firstLine="640"/>
        <w:jc w:val="both"/>
        <w:outlineLvl w:val="2"/>
      </w:pPr>
      <w:r>
        <w:rPr>
          <w:rFonts w:ascii="黑体" w:hAnsi="黑体" w:eastAsia="黑体"/>
          <w:sz w:val="32"/>
        </w:rPr>
        <w:t>八、国有资本经营预算财政拨款收入支出决算情况说明</w:t>
      </w:r>
    </w:p>
    <w:p w14:paraId="07D4B49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D10AC8">
      <w:pPr>
        <w:spacing w:line="640" w:lineRule="exact"/>
        <w:ind w:firstLine="640"/>
        <w:jc w:val="both"/>
        <w:outlineLvl w:val="2"/>
      </w:pPr>
      <w:r>
        <w:rPr>
          <w:rFonts w:ascii="黑体" w:hAnsi="黑体" w:eastAsia="黑体"/>
          <w:sz w:val="32"/>
        </w:rPr>
        <w:t>九、财政拨款“三公”经费支出决算情况说明</w:t>
      </w:r>
    </w:p>
    <w:p w14:paraId="1FA052DA">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498FB6DB">
      <w:pPr>
        <w:spacing w:line="580" w:lineRule="exact"/>
        <w:ind w:firstLine="640"/>
        <w:jc w:val="both"/>
      </w:pPr>
      <w:r>
        <w:rPr>
          <w:rFonts w:ascii="仿宋_GB2312" w:hAnsi="仿宋_GB2312" w:eastAsia="仿宋_GB2312"/>
          <w:b/>
          <w:sz w:val="32"/>
        </w:rPr>
        <w:t>具体情况如下：</w:t>
      </w:r>
    </w:p>
    <w:p w14:paraId="51B19AA6">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76F633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差异车辆为单位业务用车，车辆费用未使用财政拨款公务用车运行维护费支付，由自有经费保障。</w:t>
      </w:r>
    </w:p>
    <w:p w14:paraId="34462F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620D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42.21万元，决算数0.00万元，预决算差异率-100.00%，主要原因是：本年严格执行中央八项规定，厉行节约，无财政拨款“三公”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39.21万元，决算数0.00万元，预决算差异率-100.00%，主要原因是：本年严格执行中央八项规定，厉行节约，无公务用车运行维护费支出。公务接待费全年预算数3.00万元，决算数0.00万元，预决算差异率-100.00%，主要原因是：本年严格执行中央八项规定，厉行节约，无公务接待费支出。</w:t>
      </w:r>
    </w:p>
    <w:p w14:paraId="0C452CBF">
      <w:pPr>
        <w:spacing w:line="640" w:lineRule="exact"/>
        <w:ind w:firstLine="640"/>
        <w:jc w:val="both"/>
        <w:outlineLvl w:val="2"/>
      </w:pPr>
      <w:r>
        <w:rPr>
          <w:rFonts w:ascii="黑体" w:hAnsi="黑体" w:eastAsia="黑体"/>
          <w:sz w:val="32"/>
        </w:rPr>
        <w:t>十、其他重要事项的情况说明</w:t>
      </w:r>
    </w:p>
    <w:p w14:paraId="104D8F7B">
      <w:pPr>
        <w:spacing w:line="640" w:lineRule="exact"/>
        <w:ind w:firstLine="640"/>
        <w:jc w:val="both"/>
        <w:outlineLvl w:val="3"/>
      </w:pPr>
      <w:r>
        <w:rPr>
          <w:rFonts w:ascii="楷体_GB2312" w:hAnsi="楷体_GB2312" w:eastAsia="楷体_GB2312"/>
          <w:b/>
          <w:sz w:val="32"/>
        </w:rPr>
        <w:t>（一）机关运行经费及公用经费支出情况</w:t>
      </w:r>
    </w:p>
    <w:p w14:paraId="01EC1431">
      <w:pPr>
        <w:spacing w:line="580" w:lineRule="exact"/>
        <w:ind w:firstLine="640"/>
        <w:jc w:val="both"/>
      </w:pPr>
      <w:r>
        <w:rPr>
          <w:rFonts w:ascii="仿宋_GB2312" w:hAnsi="仿宋_GB2312" w:eastAsia="仿宋_GB2312"/>
          <w:b w:val="0"/>
          <w:sz w:val="32"/>
        </w:rPr>
        <w:t>2025年度新疆开放大学（事业单位）公用经费支出303.04万元，比上年增加125.49万元，增长70.68%，主要原因是：本年增加取暖费、物业费、福利费等，导致公用经费增加。</w:t>
      </w:r>
    </w:p>
    <w:p w14:paraId="12E5CF07">
      <w:pPr>
        <w:spacing w:line="640" w:lineRule="exact"/>
        <w:ind w:firstLine="640"/>
        <w:jc w:val="both"/>
        <w:outlineLvl w:val="3"/>
      </w:pPr>
      <w:r>
        <w:rPr>
          <w:rFonts w:ascii="楷体_GB2312" w:hAnsi="楷体_GB2312" w:eastAsia="楷体_GB2312"/>
          <w:b/>
          <w:sz w:val="32"/>
        </w:rPr>
        <w:t>（二）政府采购情况</w:t>
      </w:r>
    </w:p>
    <w:p w14:paraId="3E5837A8">
      <w:pPr>
        <w:spacing w:line="580" w:lineRule="exact"/>
        <w:ind w:firstLine="640"/>
        <w:jc w:val="both"/>
      </w:pPr>
      <w:r>
        <w:rPr>
          <w:rFonts w:ascii="仿宋_GB2312" w:hAnsi="仿宋_GB2312" w:eastAsia="仿宋_GB2312"/>
          <w:b w:val="0"/>
          <w:sz w:val="32"/>
        </w:rPr>
        <w:t>2025年度政府采购支出总额682.05万元，其中：政府采购货物支出457.26万元、政府采购工程支出0.00万元、政府采购服务支出224.79万元。</w:t>
      </w:r>
    </w:p>
    <w:p w14:paraId="2B290045">
      <w:pPr>
        <w:spacing w:line="580" w:lineRule="exact"/>
        <w:ind w:firstLine="640"/>
        <w:jc w:val="both"/>
      </w:pPr>
      <w:r>
        <w:rPr>
          <w:rFonts w:ascii="仿宋_GB2312" w:hAnsi="仿宋_GB2312" w:eastAsia="仿宋_GB2312"/>
          <w:b w:val="0"/>
          <w:sz w:val="32"/>
        </w:rPr>
        <w:t>授予中小企业合同金额327.91万元，占政府采购支出总额的48.08%，其中：授予小微企业合同金额302.00万元，占政府采购支出总额的44.28%。</w:t>
      </w:r>
    </w:p>
    <w:p w14:paraId="25909649">
      <w:pPr>
        <w:spacing w:line="640" w:lineRule="exact"/>
        <w:ind w:firstLine="640"/>
        <w:jc w:val="both"/>
        <w:outlineLvl w:val="3"/>
      </w:pPr>
      <w:r>
        <w:rPr>
          <w:rFonts w:ascii="楷体_GB2312" w:hAnsi="楷体_GB2312" w:eastAsia="楷体_GB2312"/>
          <w:b/>
          <w:sz w:val="32"/>
        </w:rPr>
        <w:t>（三）国有资产占用情况说明</w:t>
      </w:r>
    </w:p>
    <w:p w14:paraId="555DA0DF">
      <w:pPr>
        <w:spacing w:line="580" w:lineRule="exact"/>
        <w:ind w:firstLine="640"/>
        <w:jc w:val="both"/>
      </w:pPr>
      <w:r>
        <w:rPr>
          <w:rFonts w:ascii="仿宋_GB2312" w:hAnsi="仿宋_GB2312" w:eastAsia="仿宋_GB2312"/>
          <w:b w:val="0"/>
          <w:sz w:val="32"/>
        </w:rPr>
        <w:t>截至2025年12月31日，房屋59,952.97平方米，价值20,802.95万元。车辆7辆，价值218.69万元，其中：副部（省）级及以上领导用车0辆、主要负责人用车2辆、机要通信用车0辆、应急保障用车0辆、执法执勤用车0辆、特种专业技术用车0辆、离退休干部服务用车1辆、其他用车4辆，其他用车主要是：单位业务用车。单价100万元（含）以上设备（不含车辆）1台（套）。</w:t>
      </w:r>
    </w:p>
    <w:p w14:paraId="3CCDF2C6">
      <w:pPr>
        <w:spacing w:line="640" w:lineRule="exact"/>
        <w:ind w:firstLine="640"/>
        <w:jc w:val="both"/>
        <w:outlineLvl w:val="2"/>
      </w:pPr>
      <w:r>
        <w:rPr>
          <w:rFonts w:ascii="黑体" w:hAnsi="黑体" w:eastAsia="黑体"/>
          <w:sz w:val="32"/>
        </w:rPr>
        <w:t>十一、预算绩效的情况说明</w:t>
      </w:r>
    </w:p>
    <w:p w14:paraId="256D574D">
      <w:pPr>
        <w:spacing w:line="580" w:lineRule="exact"/>
        <w:ind w:firstLine="640"/>
        <w:jc w:val="both"/>
      </w:pPr>
      <w:r>
        <w:rPr>
          <w:rFonts w:ascii="仿宋_GB2312" w:hAnsi="仿宋_GB2312" w:eastAsia="仿宋_GB2312"/>
          <w:b w:val="0"/>
          <w:sz w:val="32"/>
        </w:rPr>
        <w:t>根据预算绩效管理要求，本单位预算绩效评价项目1个，全年预算数13,677.18万元，全年执行数12,540.10万元。预算绩效管理取得的成效：一是本年度非财政拨款项目资金保障了学校日常运行和各项事业有序发展，顺利完成全年招生计划、春秋季期末考试、日常教师教学等各项工作任务；二是校区购置、办公设备采购、校园维修维护、合作办学、外聘人员等各项产出指标均按预期目标完成；三是</w:t>
      </w:r>
      <w:r>
        <w:rPr>
          <w:rFonts w:hint="eastAsia" w:ascii="仿宋_GB2312" w:hAnsi="仿宋_GB2312" w:eastAsia="仿宋_GB2312"/>
          <w:b w:val="0"/>
          <w:sz w:val="32"/>
          <w:lang w:eastAsia="zh-CN"/>
        </w:rPr>
        <w:t>学校</w:t>
      </w:r>
      <w:r>
        <w:rPr>
          <w:rFonts w:ascii="仿宋_GB2312" w:hAnsi="仿宋_GB2312" w:eastAsia="仿宋_GB2312"/>
          <w:b w:val="0"/>
          <w:sz w:val="32"/>
        </w:rPr>
        <w:t>硬件条件持续改善，师资队伍得到有效补充，教学质量稳步提升，教师满意度达到预期水平，</w:t>
      </w:r>
      <w:r>
        <w:rPr>
          <w:rFonts w:hint="eastAsia" w:ascii="仿宋_GB2312" w:hAnsi="仿宋_GB2312" w:eastAsia="仿宋_GB2312"/>
          <w:b w:val="0"/>
          <w:sz w:val="32"/>
          <w:lang w:eastAsia="zh-CN"/>
        </w:rPr>
        <w:t>较好地实现了</w:t>
      </w:r>
      <w:r>
        <w:rPr>
          <w:rFonts w:ascii="仿宋_GB2312" w:hAnsi="仿宋_GB2312" w:eastAsia="仿宋_GB2312"/>
          <w:b w:val="0"/>
          <w:sz w:val="32"/>
        </w:rPr>
        <w:t>项目实施预期目标。发现的问题及原因：一是项目资金执行率为91.69%，资金未能完全执行到位，存在部分经费执行进度偏慢、资金结余的情况；二是社会效益层面教学质量提升成效仍有进一步拔高空间；三是教师满意度仍有优化提升潜力，部分工作推进节奏、服务保障距离更高标准还有差距；究其原因，部分采购、维修项目实施周期较长，项目前期筹备、审批流程耗时，造成经费支付延后。下一步改进措施：一是强化预算执行管控，细化经费执行台账，定期跟踪项目实施进度，加快采购维修类项目前期谋划，压减项目实施等待周期，提高财政资金使用效率；二是持续深化教育教学内涵建设，多措并举抓实教学质量提升工作，细化教学质量提升任务清单；三是健全满意度跟踪反馈机制，常态化收集教职工意见建议，优化校内管理服务，不断提升教职工满意度；四是完善绩效目标动态监控，强化绩效运行事中监控，做到绩效目标与资金执行进度同步推进，充分发挥资金使用效益。具体附项目支出绩效自评表。</w:t>
      </w:r>
    </w:p>
    <w:p w14:paraId="5A4C0DAB">
      <w:r>
        <w:br w:type="page"/>
      </w:r>
    </w:p>
    <w:p w14:paraId="2A124D5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7658D5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E3CA734">
            <w:pPr>
              <w:spacing w:before="0" w:after="0" w:line="240" w:lineRule="auto"/>
              <w:jc w:val="center"/>
            </w:pPr>
            <w:r>
              <w:rPr>
                <w:rFonts w:ascii="宋体" w:hAnsi="宋体" w:eastAsia="宋体"/>
                <w:b/>
                <w:i w:val="0"/>
                <w:sz w:val="32"/>
              </w:rPr>
              <w:t>项目支出绩效自评表</w:t>
            </w:r>
          </w:p>
        </w:tc>
      </w:tr>
      <w:tr w14:paraId="4AD24DE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1E8762">
            <w:pPr>
              <w:spacing w:before="0" w:after="0" w:line="240" w:lineRule="auto"/>
              <w:jc w:val="center"/>
            </w:pPr>
            <w:r>
              <w:rPr>
                <w:rFonts w:ascii="宋体" w:hAnsi="宋体" w:eastAsia="宋体"/>
                <w:b w:val="0"/>
                <w:i w:val="0"/>
                <w:sz w:val="22"/>
              </w:rPr>
              <w:t>(2025年度)</w:t>
            </w:r>
          </w:p>
        </w:tc>
      </w:tr>
      <w:tr w14:paraId="5DE16E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1BDB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BC9670B">
            <w:pPr>
              <w:spacing w:before="0" w:after="0" w:line="240" w:lineRule="auto"/>
              <w:jc w:val="center"/>
            </w:pPr>
            <w:r>
              <w:rPr>
                <w:rFonts w:ascii="宋体" w:hAnsi="宋体" w:eastAsia="宋体"/>
                <w:b w:val="0"/>
                <w:i w:val="0"/>
                <w:sz w:val="18"/>
              </w:rPr>
              <w:t>新疆开放大学2025年非财政拨款项目</w:t>
            </w:r>
          </w:p>
        </w:tc>
      </w:tr>
      <w:tr w14:paraId="0D92E8D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5F09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852255">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934D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7890E">
            <w:pPr>
              <w:spacing w:before="0" w:after="0" w:line="240" w:lineRule="auto"/>
              <w:jc w:val="center"/>
            </w:pPr>
            <w:r>
              <w:rPr>
                <w:rFonts w:ascii="宋体" w:hAnsi="宋体" w:eastAsia="宋体"/>
                <w:b w:val="0"/>
                <w:i w:val="0"/>
                <w:sz w:val="18"/>
              </w:rPr>
              <w:t>新疆开放大学</w:t>
            </w:r>
          </w:p>
        </w:tc>
      </w:tr>
      <w:tr w14:paraId="25652B9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6011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6E2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B444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DCDA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8A88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58F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DEB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D394E">
            <w:pPr>
              <w:spacing w:before="0" w:after="0" w:line="240" w:lineRule="auto"/>
              <w:jc w:val="center"/>
            </w:pPr>
            <w:r>
              <w:rPr>
                <w:rFonts w:ascii="宋体" w:hAnsi="宋体" w:eastAsia="宋体"/>
                <w:b/>
                <w:i w:val="0"/>
                <w:sz w:val="18"/>
              </w:rPr>
              <w:t>得分</w:t>
            </w:r>
          </w:p>
        </w:tc>
      </w:tr>
      <w:tr w14:paraId="0214F20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DAAC9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09CA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D884C">
            <w:pPr>
              <w:spacing w:before="0" w:after="0" w:line="240" w:lineRule="auto"/>
              <w:jc w:val="center"/>
            </w:pPr>
            <w:r>
              <w:rPr>
                <w:rFonts w:ascii="宋体" w:hAnsi="宋体" w:eastAsia="宋体"/>
                <w:b w:val="0"/>
                <w:i w:val="0"/>
                <w:sz w:val="18"/>
              </w:rPr>
              <w:t>13677.18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0582">
            <w:pPr>
              <w:spacing w:before="0" w:after="0" w:line="240" w:lineRule="auto"/>
              <w:jc w:val="center"/>
            </w:pPr>
            <w:r>
              <w:rPr>
                <w:rFonts w:ascii="宋体" w:hAnsi="宋体" w:eastAsia="宋体"/>
                <w:b w:val="0"/>
                <w:i w:val="0"/>
                <w:sz w:val="18"/>
              </w:rPr>
              <w:t>13677.18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B18CA">
            <w:pPr>
              <w:spacing w:before="0" w:after="0" w:line="240" w:lineRule="auto"/>
              <w:jc w:val="center"/>
            </w:pPr>
            <w:r>
              <w:rPr>
                <w:rFonts w:ascii="宋体" w:hAnsi="宋体" w:eastAsia="宋体"/>
                <w:b w:val="0"/>
                <w:i w:val="0"/>
                <w:sz w:val="18"/>
              </w:rPr>
              <w:t>12540.10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7903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2002">
            <w:pPr>
              <w:spacing w:before="0" w:after="0" w:line="240" w:lineRule="auto"/>
              <w:jc w:val="center"/>
            </w:pPr>
            <w:r>
              <w:rPr>
                <w:rFonts w:ascii="宋体" w:hAnsi="宋体" w:eastAsia="宋体"/>
                <w:b w:val="0"/>
                <w:i w:val="0"/>
                <w:sz w:val="18"/>
              </w:rPr>
              <w:t>91.69%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93459">
            <w:pPr>
              <w:spacing w:before="0" w:after="0" w:line="240" w:lineRule="auto"/>
              <w:jc w:val="center"/>
            </w:pPr>
            <w:r>
              <w:rPr>
                <w:rFonts w:ascii="宋体" w:hAnsi="宋体" w:eastAsia="宋体"/>
                <w:b w:val="0"/>
                <w:i w:val="0"/>
                <w:sz w:val="18"/>
              </w:rPr>
              <w:t>7.92</w:t>
            </w:r>
          </w:p>
        </w:tc>
      </w:tr>
      <w:tr w14:paraId="5EE30A7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775C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7ED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BB79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D04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C55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A6F3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8D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9E271">
            <w:pPr>
              <w:spacing w:before="0" w:after="0" w:line="240" w:lineRule="auto"/>
              <w:jc w:val="center"/>
            </w:pPr>
            <w:r>
              <w:rPr>
                <w:rFonts w:ascii="宋体" w:hAnsi="宋体" w:eastAsia="宋体"/>
                <w:b w:val="0"/>
                <w:i w:val="0"/>
                <w:sz w:val="18"/>
              </w:rPr>
              <w:t>—</w:t>
            </w:r>
          </w:p>
        </w:tc>
      </w:tr>
      <w:tr w14:paraId="2CBD37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2C14FB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D44A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289FD">
            <w:pPr>
              <w:spacing w:before="0" w:after="0" w:line="240" w:lineRule="auto"/>
              <w:jc w:val="center"/>
            </w:pPr>
            <w:r>
              <w:rPr>
                <w:rFonts w:ascii="宋体" w:hAnsi="宋体" w:eastAsia="宋体"/>
                <w:b w:val="0"/>
                <w:i w:val="0"/>
                <w:sz w:val="18"/>
              </w:rPr>
              <w:t>13677.18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FEE79">
            <w:pPr>
              <w:spacing w:before="0" w:after="0" w:line="240" w:lineRule="auto"/>
              <w:jc w:val="center"/>
            </w:pPr>
            <w:r>
              <w:rPr>
                <w:rFonts w:ascii="宋体" w:hAnsi="宋体" w:eastAsia="宋体"/>
                <w:b w:val="0"/>
                <w:i w:val="0"/>
                <w:sz w:val="18"/>
              </w:rPr>
              <w:t>13677.18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B616">
            <w:pPr>
              <w:spacing w:before="0" w:after="0" w:line="240" w:lineRule="auto"/>
              <w:jc w:val="center"/>
            </w:pPr>
            <w:r>
              <w:rPr>
                <w:rFonts w:ascii="宋体" w:hAnsi="宋体" w:eastAsia="宋体"/>
                <w:b w:val="0"/>
                <w:i w:val="0"/>
                <w:sz w:val="18"/>
              </w:rPr>
              <w:t>12540.10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5B02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F32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D22B7">
            <w:pPr>
              <w:spacing w:before="0" w:after="0" w:line="240" w:lineRule="auto"/>
              <w:jc w:val="center"/>
            </w:pPr>
            <w:r>
              <w:rPr>
                <w:rFonts w:ascii="宋体" w:hAnsi="宋体" w:eastAsia="宋体"/>
                <w:b w:val="0"/>
                <w:i w:val="0"/>
                <w:sz w:val="18"/>
              </w:rPr>
              <w:t>—</w:t>
            </w:r>
          </w:p>
        </w:tc>
      </w:tr>
      <w:tr w14:paraId="5E80BDF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C0BB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ED1C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D0B0A">
            <w:pPr>
              <w:spacing w:before="0" w:after="0" w:line="240" w:lineRule="auto"/>
              <w:jc w:val="center"/>
            </w:pPr>
            <w:r>
              <w:rPr>
                <w:rFonts w:ascii="宋体" w:hAnsi="宋体" w:eastAsia="宋体"/>
                <w:b/>
                <w:i w:val="0"/>
                <w:sz w:val="18"/>
              </w:rPr>
              <w:t>实际完成情况</w:t>
            </w:r>
          </w:p>
        </w:tc>
      </w:tr>
      <w:tr w14:paraId="2252E6F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317E7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86DEC8">
            <w:pPr>
              <w:spacing w:before="0" w:after="0" w:line="240" w:lineRule="auto"/>
              <w:jc w:val="center"/>
            </w:pPr>
            <w:r>
              <w:rPr>
                <w:rFonts w:ascii="宋体" w:hAnsi="宋体" w:eastAsia="宋体"/>
                <w:b w:val="0"/>
                <w:i w:val="0"/>
                <w:sz w:val="18"/>
              </w:rPr>
              <w:t>用于安排学校各类项目支出，主要包括公用运转类经费、基本建设及校园维修项目。保障学校日常运行和事业发展，完成全年招生计划，春季、秋季期末考试，日常教师教学工作，不断提高教学质量，提高高校科研能力，提升教师核心竞争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9D1E6">
            <w:pPr>
              <w:spacing w:before="0" w:after="0" w:line="240" w:lineRule="auto"/>
              <w:jc w:val="center"/>
            </w:pPr>
            <w:r>
              <w:rPr>
                <w:rFonts w:ascii="宋体" w:hAnsi="宋体" w:eastAsia="宋体"/>
                <w:b w:val="0"/>
                <w:i w:val="0"/>
                <w:sz w:val="18"/>
              </w:rPr>
              <w:t>保障学校日常运行和事业发展，完成全年招生计划，春季、秋季期末考试，日常教师教学工作，不断提高教学质量，提高高校科研能力，提升教师核心竞争力。</w:t>
            </w:r>
          </w:p>
        </w:tc>
      </w:tr>
      <w:tr w14:paraId="3AA358B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A8F4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7C32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9549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7E68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757E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2C5B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D6A3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F24A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E3C5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5EEC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088E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AA0E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68AF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C9E76">
            <w:pPr>
              <w:spacing w:before="0" w:after="0" w:line="240" w:lineRule="auto"/>
              <w:jc w:val="center"/>
            </w:pPr>
            <w:r>
              <w:rPr>
                <w:rFonts w:ascii="宋体" w:hAnsi="宋体" w:eastAsia="宋体"/>
                <w:b/>
                <w:i w:val="0"/>
                <w:sz w:val="18"/>
              </w:rPr>
              <w:t>偏差原因分析及改进措施</w:t>
            </w:r>
          </w:p>
        </w:tc>
      </w:tr>
      <w:tr w14:paraId="5AFB922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893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BCC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C523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FE5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A9DE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788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12E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81D4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EE60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8CBC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9195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A27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0A8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D91E3C"/>
        </w:tc>
      </w:tr>
      <w:tr w14:paraId="3F505A0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F2C2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D67A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9575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7C8BA">
            <w:pPr>
              <w:spacing w:before="0" w:after="0" w:line="240" w:lineRule="auto"/>
              <w:jc w:val="center"/>
            </w:pPr>
            <w:r>
              <w:rPr>
                <w:rFonts w:ascii="宋体" w:hAnsi="宋体" w:eastAsia="宋体"/>
                <w:b w:val="0"/>
                <w:i w:val="0"/>
                <w:sz w:val="18"/>
              </w:rPr>
              <w:t>校区购置款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A5C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34251">
            <w:pPr>
              <w:spacing w:before="0" w:after="0" w:line="240" w:lineRule="auto"/>
              <w:jc w:val="center"/>
            </w:pPr>
            <w:r>
              <w:rPr>
                <w:rFonts w:ascii="宋体" w:hAnsi="宋体" w:eastAsia="宋体"/>
                <w:b w:val="0"/>
                <w:i w:val="0"/>
                <w:sz w:val="18"/>
              </w:rPr>
              <w:t>&gt;=1次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57D33">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289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19C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59C4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6B03B">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80F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400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50E88">
            <w:pPr>
              <w:spacing w:before="0" w:after="0" w:line="240" w:lineRule="auto"/>
              <w:jc w:val="center"/>
            </w:pPr>
          </w:p>
        </w:tc>
      </w:tr>
      <w:tr w14:paraId="5BA13B5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0A8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10A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085C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27F6F">
            <w:pPr>
              <w:spacing w:before="0" w:after="0" w:line="240" w:lineRule="auto"/>
              <w:jc w:val="center"/>
            </w:pPr>
            <w:r>
              <w:rPr>
                <w:rFonts w:ascii="宋体" w:hAnsi="宋体" w:eastAsia="宋体"/>
                <w:b w:val="0"/>
                <w:i w:val="0"/>
                <w:sz w:val="18"/>
              </w:rPr>
              <w:t>办公设备购置批数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C9BD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12B22">
            <w:pPr>
              <w:spacing w:before="0" w:after="0" w:line="240" w:lineRule="auto"/>
              <w:jc w:val="center"/>
            </w:pPr>
            <w:r>
              <w:rPr>
                <w:rFonts w:ascii="宋体" w:hAnsi="宋体" w:eastAsia="宋体"/>
                <w:b w:val="0"/>
                <w:i w:val="0"/>
                <w:sz w:val="18"/>
              </w:rPr>
              <w:t>&gt;=5批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D7D78">
            <w:pPr>
              <w:spacing w:before="0" w:after="0" w:line="240" w:lineRule="auto"/>
              <w:jc w:val="center"/>
            </w:pPr>
            <w:r>
              <w:rPr>
                <w:rFonts w:ascii="宋体" w:hAnsi="宋体" w:eastAsia="宋体"/>
                <w:b w:val="0"/>
                <w:i w:val="0"/>
                <w:sz w:val="18"/>
              </w:rPr>
              <w:t>=5批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3F6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8FF8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EA39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34510">
            <w:pPr>
              <w:spacing w:before="0" w:after="0" w:line="240" w:lineRule="auto"/>
              <w:jc w:val="center"/>
            </w:pPr>
            <w:r>
              <w:rPr>
                <w:rFonts w:ascii="宋体" w:hAnsi="宋体" w:eastAsia="宋体"/>
                <w:b w:val="0"/>
                <w:i w:val="0"/>
                <w:sz w:val="18"/>
              </w:rPr>
              <w:t>5批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0B3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3AB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78DD2">
            <w:pPr>
              <w:spacing w:before="0" w:after="0" w:line="240" w:lineRule="auto"/>
              <w:jc w:val="center"/>
            </w:pPr>
          </w:p>
        </w:tc>
      </w:tr>
      <w:tr w14:paraId="2FA754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2F8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F810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2430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C71F5">
            <w:pPr>
              <w:spacing w:before="0" w:after="0" w:line="240" w:lineRule="auto"/>
              <w:jc w:val="center"/>
            </w:pPr>
            <w:r>
              <w:rPr>
                <w:rFonts w:ascii="宋体" w:hAnsi="宋体" w:eastAsia="宋体"/>
                <w:b w:val="0"/>
                <w:i w:val="0"/>
                <w:sz w:val="18"/>
              </w:rPr>
              <w:t>维修维护项目数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0BFA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CE075">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BEF1E">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415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6FC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103F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8C659">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A4A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E4A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B5372">
            <w:pPr>
              <w:spacing w:before="0" w:after="0" w:line="240" w:lineRule="auto"/>
              <w:jc w:val="center"/>
            </w:pPr>
          </w:p>
        </w:tc>
      </w:tr>
      <w:tr w14:paraId="5BACAF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4F2F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92F1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5C1D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2C361">
            <w:pPr>
              <w:spacing w:before="0" w:after="0" w:line="240" w:lineRule="auto"/>
              <w:jc w:val="center"/>
            </w:pPr>
            <w:r>
              <w:rPr>
                <w:rFonts w:ascii="宋体" w:hAnsi="宋体" w:eastAsia="宋体"/>
                <w:b w:val="0"/>
                <w:i w:val="0"/>
                <w:sz w:val="18"/>
              </w:rPr>
              <w:t>合作办学教学点数量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6A4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86653">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DFC85">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0C7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83E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99E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D050F">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F31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FAD6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6D99C">
            <w:pPr>
              <w:spacing w:before="0" w:after="0" w:line="240" w:lineRule="auto"/>
              <w:jc w:val="center"/>
            </w:pPr>
          </w:p>
        </w:tc>
      </w:tr>
      <w:tr w14:paraId="5EC4E1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5C9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0995F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C026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B2C21">
            <w:pPr>
              <w:spacing w:before="0" w:after="0" w:line="240" w:lineRule="auto"/>
              <w:jc w:val="center"/>
            </w:pPr>
            <w:r>
              <w:rPr>
                <w:rFonts w:ascii="宋体" w:hAnsi="宋体" w:eastAsia="宋体"/>
                <w:b w:val="0"/>
                <w:i w:val="0"/>
                <w:sz w:val="18"/>
              </w:rPr>
              <w:t>外聘人员人数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CBE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4D8A8">
            <w:pPr>
              <w:spacing w:before="0" w:after="0" w:line="240" w:lineRule="auto"/>
              <w:jc w:val="center"/>
            </w:pPr>
            <w:r>
              <w:rPr>
                <w:rFonts w:ascii="宋体" w:hAnsi="宋体" w:eastAsia="宋体"/>
                <w:b w:val="0"/>
                <w:i w:val="0"/>
                <w:sz w:val="18"/>
              </w:rPr>
              <w:t>&gt;=100人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6B6BD">
            <w:pPr>
              <w:spacing w:before="0" w:after="0" w:line="240" w:lineRule="auto"/>
              <w:jc w:val="center"/>
            </w:pPr>
            <w:r>
              <w:rPr>
                <w:rFonts w:ascii="宋体" w:hAnsi="宋体" w:eastAsia="宋体"/>
                <w:b w:val="0"/>
                <w:i w:val="0"/>
                <w:sz w:val="18"/>
              </w:rPr>
              <w: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781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A59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B7C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85D76">
            <w:pPr>
              <w:spacing w:before="0" w:after="0" w:line="240" w:lineRule="auto"/>
              <w:jc w:val="center"/>
            </w:pPr>
            <w:r>
              <w:rPr>
                <w:rFonts w:ascii="宋体" w:hAnsi="宋体" w:eastAsia="宋体"/>
                <w:b w:val="0"/>
                <w:i w:val="0"/>
                <w:sz w:val="18"/>
              </w:rPr>
              <w: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CDF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1AF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82B37">
            <w:pPr>
              <w:spacing w:before="0" w:after="0" w:line="240" w:lineRule="auto"/>
              <w:jc w:val="center"/>
            </w:pPr>
          </w:p>
        </w:tc>
      </w:tr>
      <w:tr w14:paraId="1FC23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EB41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4C98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3FB8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8BC62">
            <w:pPr>
              <w:spacing w:before="0" w:after="0" w:line="240" w:lineRule="auto"/>
              <w:jc w:val="center"/>
            </w:pPr>
            <w:r>
              <w:rPr>
                <w:rFonts w:ascii="宋体" w:hAnsi="宋体" w:eastAsia="宋体"/>
                <w:b w:val="0"/>
                <w:i w:val="0"/>
                <w:sz w:val="18"/>
              </w:rPr>
              <w:t>办公设备验收合格率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A121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D748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E4BD2">
            <w:pPr>
              <w:spacing w:before="0" w:after="0" w:line="240" w:lineRule="auto"/>
              <w:jc w:val="center"/>
            </w:pPr>
            <w:r>
              <w:rPr>
                <w:rFonts w:ascii="宋体" w:hAnsi="宋体" w:eastAsia="宋体"/>
                <w:b w:val="0"/>
                <w:i w:val="0"/>
                <w:sz w:val="18"/>
              </w:rPr>
              <w:t>=99%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B41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55C8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E5B0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3ACC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874C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F5A0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7F116">
            <w:pPr>
              <w:spacing w:before="0" w:after="0" w:line="240" w:lineRule="auto"/>
              <w:jc w:val="center"/>
            </w:pPr>
          </w:p>
        </w:tc>
      </w:tr>
      <w:tr w14:paraId="1ACA61B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CA21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9B47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F4E3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66FCB">
            <w:pPr>
              <w:spacing w:before="0" w:after="0" w:line="240" w:lineRule="auto"/>
              <w:jc w:val="center"/>
            </w:pPr>
            <w:r>
              <w:rPr>
                <w:rFonts w:ascii="宋体" w:hAnsi="宋体" w:eastAsia="宋体"/>
                <w:b w:val="0"/>
                <w:i w:val="0"/>
                <w:sz w:val="18"/>
              </w:rPr>
              <w:t>外聘人员劳务费发放时间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73DE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7226E">
            <w:pPr>
              <w:spacing w:before="0" w:after="0" w:line="240" w:lineRule="auto"/>
              <w:jc w:val="center"/>
            </w:pPr>
            <w:r>
              <w:rPr>
                <w:rFonts w:ascii="宋体" w:hAnsi="宋体" w:eastAsia="宋体"/>
                <w:b w:val="0"/>
                <w:i w:val="0"/>
                <w:sz w:val="18"/>
              </w:rPr>
              <w:t>每月25日前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ADE90">
            <w:pPr>
              <w:spacing w:before="0" w:after="0" w:line="240" w:lineRule="auto"/>
              <w:jc w:val="center"/>
            </w:pPr>
            <w:r>
              <w:rPr>
                <w:rFonts w:ascii="宋体" w:hAnsi="宋体" w:eastAsia="宋体"/>
                <w:b w:val="0"/>
                <w:i w:val="0"/>
                <w:sz w:val="18"/>
              </w:rPr>
              <w:t>每月25日前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C24C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488D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5CA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0FD28">
            <w:pPr>
              <w:spacing w:before="0" w:after="0" w:line="240" w:lineRule="auto"/>
              <w:jc w:val="center"/>
            </w:pPr>
            <w:r>
              <w:rPr>
                <w:rFonts w:ascii="宋体" w:hAnsi="宋体" w:eastAsia="宋体"/>
                <w:b w:val="0"/>
                <w:i w:val="0"/>
                <w:sz w:val="18"/>
              </w:rPr>
              <w:t>每月25日前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216E6">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88A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536B4">
            <w:pPr>
              <w:spacing w:before="0" w:after="0" w:line="240" w:lineRule="auto"/>
              <w:jc w:val="center"/>
            </w:pPr>
          </w:p>
        </w:tc>
      </w:tr>
      <w:tr w14:paraId="76C163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68C5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AAE52">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0141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ABFD9">
            <w:pPr>
              <w:spacing w:before="0" w:after="0" w:line="240" w:lineRule="auto"/>
              <w:jc w:val="center"/>
            </w:pPr>
            <w:r>
              <w:rPr>
                <w:rFonts w:ascii="宋体" w:hAnsi="宋体" w:eastAsia="宋体"/>
                <w:b w:val="0"/>
                <w:i w:val="0"/>
                <w:sz w:val="18"/>
              </w:rPr>
              <w:t>教学质量提升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94CE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567BA">
            <w:pPr>
              <w:spacing w:before="0" w:after="0" w:line="240" w:lineRule="auto"/>
              <w:jc w:val="center"/>
            </w:pPr>
            <w:r>
              <w:rPr>
                <w:rFonts w:ascii="宋体" w:hAnsi="宋体" w:eastAsia="宋体"/>
                <w:b w:val="0"/>
                <w:i w:val="0"/>
                <w:sz w:val="18"/>
              </w:rPr>
              <w:t>持续提升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56F8E">
            <w:pPr>
              <w:spacing w:before="0" w:after="0" w:line="240" w:lineRule="auto"/>
              <w:jc w:val="center"/>
            </w:pPr>
            <w:r>
              <w:rPr>
                <w:rFonts w:ascii="宋体" w:hAnsi="宋体" w:eastAsia="宋体"/>
                <w:b w:val="0"/>
                <w:i w:val="0"/>
                <w:sz w:val="18"/>
              </w:rPr>
              <w:t>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8177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AD4C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3EA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5BCEE">
            <w:pPr>
              <w:spacing w:before="0" w:after="0" w:line="240" w:lineRule="auto"/>
              <w:jc w:val="center"/>
            </w:pPr>
            <w:r>
              <w:rPr>
                <w:rFonts w:ascii="宋体" w:hAnsi="宋体" w:eastAsia="宋体"/>
                <w:b w:val="0"/>
                <w:i w:val="0"/>
                <w:sz w:val="18"/>
              </w:rPr>
              <w:t>持续提升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C3AB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CCB2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A1F89">
            <w:pPr>
              <w:spacing w:before="0" w:after="0" w:line="240" w:lineRule="auto"/>
              <w:jc w:val="center"/>
            </w:pPr>
          </w:p>
        </w:tc>
      </w:tr>
      <w:tr w14:paraId="4FC8B6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AAD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F4EB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7C0C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5E6E2">
            <w:pPr>
              <w:spacing w:before="0" w:after="0" w:line="240" w:lineRule="auto"/>
              <w:jc w:val="center"/>
            </w:pPr>
            <w:r>
              <w:rPr>
                <w:rFonts w:ascii="宋体" w:hAnsi="宋体" w:eastAsia="宋体"/>
                <w:b w:val="0"/>
                <w:i w:val="0"/>
                <w:sz w:val="18"/>
              </w:rPr>
              <w:t>教师满意度 （%）</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5CA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67D7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913F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6DC2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8BC9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798C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AAAB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2564F">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8516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65CF8">
            <w:pPr>
              <w:spacing w:before="0" w:after="0" w:line="240" w:lineRule="auto"/>
              <w:jc w:val="center"/>
            </w:pPr>
          </w:p>
        </w:tc>
      </w:tr>
      <w:tr w14:paraId="74418AD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E6A0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E83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15B0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B79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606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71884">
            <w:pPr>
              <w:spacing w:before="0" w:after="0" w:line="240" w:lineRule="auto"/>
              <w:jc w:val="center"/>
            </w:pPr>
            <w:r>
              <w:rPr>
                <w:rFonts w:ascii="宋体" w:hAnsi="宋体" w:eastAsia="宋体"/>
                <w:b w:val="0"/>
                <w:i w:val="0"/>
                <w:sz w:val="18"/>
              </w:rPr>
              <w:t>97.92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932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909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E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874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4DC7B">
            <w:pPr>
              <w:spacing w:before="0" w:after="0" w:line="240" w:lineRule="auto"/>
              <w:jc w:val="center"/>
            </w:pPr>
          </w:p>
        </w:tc>
      </w:tr>
    </w:tbl>
    <w:p w14:paraId="73755645">
      <w:r>
        <w:br w:type="page"/>
      </w:r>
    </w:p>
    <w:p w14:paraId="75016834">
      <w:pPr>
        <w:sectPr>
          <w:type w:val="continuous"/>
          <w:pgSz w:w="11906" w:h="16838"/>
          <w:pgMar w:top="1440" w:right="1800" w:bottom="1440" w:left="1800" w:header="851" w:footer="992" w:gutter="0"/>
          <w:cols w:space="720" w:num="1"/>
          <w:docGrid w:type="lines" w:linePitch="312" w:charSpace="0"/>
        </w:sectPr>
      </w:pPr>
      <w:bookmarkStart w:id="0" w:name="_GoBack"/>
      <w:bookmarkEnd w:id="0"/>
    </w:p>
    <w:p w14:paraId="06F2AC46">
      <w:pPr>
        <w:spacing w:line="640" w:lineRule="exact"/>
        <w:ind w:firstLine="640"/>
        <w:jc w:val="both"/>
        <w:outlineLvl w:val="2"/>
      </w:pPr>
      <w:r>
        <w:rPr>
          <w:rFonts w:ascii="黑体" w:hAnsi="黑体" w:eastAsia="黑体"/>
          <w:sz w:val="32"/>
        </w:rPr>
        <w:t>十二、其他需说明的事项</w:t>
      </w:r>
    </w:p>
    <w:p w14:paraId="5597813D">
      <w:pPr>
        <w:spacing w:line="580" w:lineRule="exact"/>
        <w:ind w:firstLine="640"/>
        <w:jc w:val="both"/>
      </w:pPr>
      <w:r>
        <w:rPr>
          <w:rFonts w:ascii="仿宋_GB2312" w:hAnsi="仿宋_GB2312" w:eastAsia="仿宋_GB2312"/>
          <w:b w:val="0"/>
          <w:sz w:val="32"/>
        </w:rPr>
        <w:t>本单位无其他需说明的事项。</w:t>
      </w:r>
    </w:p>
    <w:p w14:paraId="0DF0EBDF">
      <w:r>
        <w:br w:type="page"/>
      </w:r>
    </w:p>
    <w:p w14:paraId="3547A3BA">
      <w:pPr>
        <w:spacing w:line="600" w:lineRule="exact"/>
        <w:jc w:val="center"/>
        <w:outlineLvl w:val="0"/>
      </w:pPr>
      <w:r>
        <w:rPr>
          <w:rFonts w:ascii="黑体" w:hAnsi="黑体" w:eastAsia="黑体"/>
          <w:sz w:val="32"/>
        </w:rPr>
        <w:t>第三部分 专业名词解释</w:t>
      </w:r>
    </w:p>
    <w:p w14:paraId="2DEBE942">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F1AEB7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235C6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3F6981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1749C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466F18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133CB8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68EF6F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932993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6D96FC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7994D8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93C8D5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806C7F0">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EFC640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245676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710CF8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B6591B6">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8D78F7B">
      <w:r>
        <w:br w:type="page"/>
      </w:r>
    </w:p>
    <w:p w14:paraId="0E41DFEB">
      <w:pPr>
        <w:spacing w:line="240" w:lineRule="auto"/>
        <w:jc w:val="center"/>
        <w:outlineLvl w:val="1"/>
      </w:pPr>
      <w:r>
        <w:rPr>
          <w:rFonts w:ascii="黑体" w:hAnsi="黑体" w:eastAsia="黑体"/>
          <w:sz w:val="32"/>
        </w:rPr>
        <w:t>第四部分 部门决算报表（见附表）</w:t>
      </w:r>
    </w:p>
    <w:p w14:paraId="35781DC4">
      <w:pPr>
        <w:autoSpaceDE w:val="0"/>
        <w:autoSpaceDN w:val="0"/>
        <w:spacing w:line="600" w:lineRule="exact"/>
        <w:ind w:firstLine="640" w:firstLineChars="200"/>
      </w:pPr>
      <w:r>
        <w:rPr>
          <w:rFonts w:ascii="仿宋_GB2312" w:hAnsi="仿宋_GB2312" w:eastAsia="仿宋_GB2312"/>
          <w:b w:val="0"/>
          <w:sz w:val="32"/>
        </w:rPr>
        <w:t>一、《收入支出决算总表》</w:t>
      </w:r>
    </w:p>
    <w:p w14:paraId="0368253C">
      <w:pPr>
        <w:autoSpaceDE w:val="0"/>
        <w:autoSpaceDN w:val="0"/>
        <w:spacing w:line="600" w:lineRule="exact"/>
        <w:ind w:firstLine="640" w:firstLineChars="200"/>
      </w:pPr>
      <w:r>
        <w:rPr>
          <w:rFonts w:ascii="仿宋_GB2312" w:hAnsi="仿宋_GB2312" w:eastAsia="仿宋_GB2312"/>
          <w:b w:val="0"/>
          <w:sz w:val="32"/>
        </w:rPr>
        <w:t>二、《收入决算表》</w:t>
      </w:r>
    </w:p>
    <w:p w14:paraId="7BA65B34">
      <w:pPr>
        <w:autoSpaceDE w:val="0"/>
        <w:autoSpaceDN w:val="0"/>
        <w:spacing w:line="600" w:lineRule="exact"/>
        <w:ind w:firstLine="640" w:firstLineChars="200"/>
      </w:pPr>
      <w:r>
        <w:rPr>
          <w:rFonts w:ascii="仿宋_GB2312" w:hAnsi="仿宋_GB2312" w:eastAsia="仿宋_GB2312"/>
          <w:b w:val="0"/>
          <w:sz w:val="32"/>
        </w:rPr>
        <w:t>三、《支出决算表》</w:t>
      </w:r>
    </w:p>
    <w:p w14:paraId="70F58C5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32545E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1CF278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4B1E17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F683E75">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48E53FF">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B368109">
      <w:pPr>
        <w:autoSpaceDE w:val="0"/>
        <w:autoSpaceDN w:val="0"/>
        <w:spacing w:line="600" w:lineRule="exact"/>
        <w:ind w:firstLine="640" w:firstLineChars="200"/>
      </w:pPr>
    </w:p>
    <w:p w14:paraId="38A553F2">
      <w:pPr>
        <w:autoSpaceDE w:val="0"/>
        <w:autoSpaceDN w:val="0"/>
        <w:spacing w:line="600" w:lineRule="exact"/>
        <w:ind w:firstLine="640" w:firstLineChars="200"/>
      </w:pPr>
    </w:p>
    <w:p w14:paraId="518AB593">
      <w:pPr>
        <w:autoSpaceDE w:val="0"/>
        <w:autoSpaceDN w:val="0"/>
        <w:spacing w:line="600" w:lineRule="exact"/>
        <w:ind w:firstLine="640" w:firstLineChars="200"/>
      </w:pPr>
    </w:p>
    <w:p w14:paraId="3A11D1D8">
      <w:pPr>
        <w:autoSpaceDE w:val="0"/>
        <w:autoSpaceDN w:val="0"/>
        <w:spacing w:line="600" w:lineRule="exact"/>
        <w:ind w:firstLine="640" w:firstLineChars="200"/>
      </w:pPr>
    </w:p>
    <w:p w14:paraId="247D40C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38335C-47ED-472A-A1C6-EBB46E76D4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E134F36-3879-469A-BD1F-0307AB496EB8}"/>
  </w:font>
  <w:font w:name="仿宋_GB2312">
    <w:panose1 w:val="02010609030101010101"/>
    <w:charset w:val="86"/>
    <w:family w:val="modern"/>
    <w:pitch w:val="default"/>
    <w:sig w:usb0="00000001" w:usb1="080E0000" w:usb2="00000000" w:usb3="00000000" w:csb0="00040000" w:csb1="00000000"/>
    <w:embedRegular r:id="rId3" w:fontKey="{C1B0C458-810B-4F08-AE1C-919ACCB1FEF0}"/>
  </w:font>
  <w:font w:name="楷体_GB2312">
    <w:altName w:val="楷体"/>
    <w:panose1 w:val="00000000000000000000"/>
    <w:charset w:val="00"/>
    <w:family w:val="auto"/>
    <w:pitch w:val="default"/>
    <w:sig w:usb0="00000000" w:usb1="00000000" w:usb2="00000000" w:usb3="00000000" w:csb0="00000000" w:csb1="00000000"/>
    <w:embedRegular r:id="rId4" w:fontKey="{3B71515F-DBFA-4850-959E-3EAA77CE5B6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B540F85"/>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d7e4fcef-3468-4def-99b9-3e2025f43056</errorID>
      <errorWord>访惠聚</errorWord>
      <group>L1_Sensitive</group>
      <groupName>敏感问题</groupName>
      <ability>L2_UserSensitive</ability>
      <abilityName>自定义敏感词</abilityName>
      <candidateList/>
      <explain>来自自定义敏感词库。</explain>
      <paraID>26F39B4B</paraID>
      <start>213</start>
      <end>216</end>
      <status>ignored</status>
      <modifiedWord/>
      <trackRevisions>false</trackRevisions>
    </reviewItem>
    <reviewItem>
      <errorID>7f672aa9-7e68-45df-87ee-da18d24b0623</errorID>
      <errorWord>2月31日</errorWord>
      <group>L1_Sensitive</group>
      <groupName>敏感问题</groupName>
      <ability>L2_UserSensitive</ability>
      <abilityName>自定义敏感词</abilityName>
      <candidateList/>
      <explain>来自自定义敏感词库。</explain>
      <paraID>555DA0DF</paraID>
      <start>8</start>
      <end>13</end>
      <status>ignored</status>
      <modifiedWord/>
      <trackRevisions>false</trackRevisions>
    </reviewItem>
    <reviewItem>
      <errorID>826e2821-dc26-4dd0-bd4b-587f8e174a34</errorID>
      <errorWord>监控</errorWord>
      <group>L1_Sensitive</group>
      <groupName>敏感问题</groupName>
      <ability>L2_UserSensitive</ability>
      <abilityName>自定义敏感词</abilityName>
      <candidateList/>
      <explain>来自自定义敏感词库。</explain>
      <paraID>256D574D</paraID>
      <start>586</start>
      <end>588</end>
      <status>ignored</status>
      <modifiedWord/>
      <trackRevisions>false</trackRevisions>
    </reviewItem>
    <reviewItem>
      <errorID>f365ad57-d2ad-470e-bec3-8c7ec6336dac</errorID>
      <errorWord>监控</errorWord>
      <group>L1_Sensitive</group>
      <groupName>敏感问题</groupName>
      <ability>L2_UserSensitive</ability>
      <abilityName>自定义敏感词</abilityName>
      <candidateList/>
      <explain>来自自定义敏感词库。</explain>
      <paraID>256D574D</paraID>
      <start>597</start>
      <end>599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3cba8f2-1d30-403d-ab4b-65c10bd841fe}">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6290</Words>
  <Characters>7121</Characters>
  <Lines>10</Lines>
  <Paragraphs>2</Paragraphs>
  <TotalTime>9</TotalTime>
  <ScaleCrop>false</ScaleCrop>
  <LinksUpToDate>false</LinksUpToDate>
  <CharactersWithSpaces>7132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2026-09-01T11:08:11Z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