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新疆维吾尔自治区教育厅机关服务中心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39AA7CE6">
      <w:r>
        <w:br w:type="page"/>
      </w:r>
    </w:p>
    <w:p w14:paraId="72CD4A0E">
      <w:pPr>
        <w:spacing w:line="640" w:lineRule="exact"/>
        <w:jc w:val="center"/>
        <w:outlineLvl w:val="1"/>
      </w:pPr>
      <w:r>
        <w:rPr>
          <w:rFonts w:ascii="黑体" w:hAnsi="黑体" w:eastAsia="黑体"/>
          <w:sz w:val="32"/>
        </w:rPr>
        <w:t>第一部分 单位概况</w:t>
      </w:r>
    </w:p>
    <w:p w14:paraId="5D75B6A5">
      <w:pPr>
        <w:spacing w:line="640" w:lineRule="exact"/>
        <w:ind w:firstLine="640"/>
        <w:jc w:val="both"/>
        <w:outlineLvl w:val="2"/>
      </w:pPr>
      <w:r>
        <w:rPr>
          <w:rFonts w:ascii="黑体" w:hAnsi="黑体" w:eastAsia="黑体"/>
          <w:sz w:val="32"/>
        </w:rPr>
        <w:t>一、主要职能</w:t>
      </w:r>
    </w:p>
    <w:p w14:paraId="0DF7DBCA">
      <w:pPr>
        <w:spacing w:line="580" w:lineRule="exact"/>
        <w:ind w:firstLine="640"/>
        <w:jc w:val="both"/>
      </w:pPr>
      <w:r>
        <w:rPr>
          <w:rFonts w:ascii="仿宋_GB2312" w:hAnsi="仿宋_GB2312" w:eastAsia="仿宋_GB2312"/>
          <w:sz w:val="32"/>
        </w:rPr>
        <w:t>教育厅机关服务中心承担厅机关后勤服务保障工作。</w:t>
      </w:r>
    </w:p>
    <w:p w14:paraId="38F2C9FA">
      <w:pPr>
        <w:spacing w:line="640" w:lineRule="exact"/>
        <w:ind w:firstLine="640"/>
        <w:jc w:val="both"/>
        <w:outlineLvl w:val="2"/>
      </w:pPr>
      <w:r>
        <w:rPr>
          <w:rFonts w:ascii="黑体" w:hAnsi="黑体" w:eastAsia="黑体"/>
          <w:sz w:val="32"/>
        </w:rPr>
        <w:t>二、机构设置</w:t>
      </w:r>
    </w:p>
    <w:p w14:paraId="60D1018A">
      <w:pPr>
        <w:spacing w:line="580" w:lineRule="exact"/>
        <w:ind w:firstLine="640"/>
        <w:jc w:val="both"/>
      </w:pPr>
      <w:r>
        <w:rPr>
          <w:rFonts w:ascii="仿宋_GB2312" w:hAnsi="仿宋_GB2312" w:eastAsia="仿宋_GB2312"/>
          <w:sz w:val="32"/>
        </w:rPr>
        <w:t>新疆维吾尔自治区教育厅机关服务中心无下属预算单位。</w:t>
      </w:r>
    </w:p>
    <w:p w14:paraId="71B857DD">
      <w:r>
        <w:br w:type="page"/>
      </w:r>
    </w:p>
    <w:p w14:paraId="09C05CA5">
      <w:pPr>
        <w:spacing w:line="240" w:lineRule="auto"/>
        <w:jc w:val="center"/>
        <w:outlineLvl w:val="1"/>
      </w:pPr>
      <w:r>
        <w:rPr>
          <w:rFonts w:ascii="黑体" w:hAnsi="黑体" w:eastAsia="黑体"/>
          <w:sz w:val="32"/>
        </w:rPr>
        <w:t>第二部分 部门决算情况说明</w:t>
      </w:r>
    </w:p>
    <w:p w14:paraId="778F3A60">
      <w:pPr>
        <w:spacing w:line="640" w:lineRule="exact"/>
        <w:ind w:firstLine="640"/>
        <w:jc w:val="both"/>
        <w:outlineLvl w:val="2"/>
      </w:pPr>
      <w:r>
        <w:rPr>
          <w:rFonts w:ascii="黑体" w:hAnsi="黑体" w:eastAsia="黑体"/>
          <w:sz w:val="32"/>
        </w:rPr>
        <w:t>一、收入支出决算总体情况说明</w:t>
      </w:r>
    </w:p>
    <w:p w14:paraId="1C0A68C6">
      <w:pPr>
        <w:spacing w:line="580" w:lineRule="exact"/>
        <w:ind w:firstLine="640"/>
        <w:jc w:val="both"/>
      </w:pPr>
      <w:r>
        <w:rPr>
          <w:rFonts w:ascii="仿宋_GB2312" w:hAnsi="仿宋_GB2312" w:eastAsia="仿宋_GB2312"/>
          <w:b/>
          <w:sz w:val="32"/>
        </w:rPr>
        <w:t>2025年度收入总计669.53万元，</w:t>
      </w:r>
      <w:r>
        <w:rPr>
          <w:rFonts w:ascii="仿宋_GB2312" w:hAnsi="仿宋_GB2312" w:eastAsia="仿宋_GB2312"/>
          <w:b w:val="0"/>
          <w:sz w:val="32"/>
        </w:rPr>
        <w:t>其中：本年收入合计493.37万元，使用非财政拨款结余（含专用结余）176.16万元，年初结转和结余0.00万元。</w:t>
      </w:r>
    </w:p>
    <w:p w14:paraId="017BC852">
      <w:pPr>
        <w:spacing w:line="580" w:lineRule="exact"/>
        <w:ind w:firstLine="640"/>
        <w:jc w:val="both"/>
      </w:pPr>
      <w:r>
        <w:rPr>
          <w:rFonts w:ascii="仿宋_GB2312" w:hAnsi="仿宋_GB2312" w:eastAsia="仿宋_GB2312"/>
          <w:b/>
          <w:sz w:val="32"/>
        </w:rPr>
        <w:t>2025年度支出总计669.53万元，</w:t>
      </w:r>
      <w:r>
        <w:rPr>
          <w:rFonts w:ascii="仿宋_GB2312" w:hAnsi="仿宋_GB2312" w:eastAsia="仿宋_GB2312"/>
          <w:b w:val="0"/>
          <w:sz w:val="32"/>
        </w:rPr>
        <w:t>其中：本年支出合计669.53万元，结余分配0.00万元，年末结转和结余0.00万元。</w:t>
      </w:r>
    </w:p>
    <w:p w14:paraId="5382CFCE">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增加41.97万元，增长6.69%，主要原因是：</w:t>
      </w:r>
      <w:r>
        <w:rPr>
          <w:rFonts w:hint="eastAsia" w:ascii="仿宋_GB2312" w:hAnsi="仿宋_GB2312" w:eastAsia="仿宋_GB2312"/>
          <w:b w:val="0"/>
          <w:sz w:val="32"/>
        </w:rPr>
        <w:t>本年在职人员工资调增，社保、公积金基数调增，</w:t>
      </w:r>
      <w:r>
        <w:rPr>
          <w:rFonts w:ascii="仿宋_GB2312" w:hAnsi="仿宋_GB2312" w:eastAsia="仿宋_GB2312"/>
          <w:b w:val="0"/>
          <w:sz w:val="32"/>
        </w:rPr>
        <w:t>增加实缴职业年金部分</w:t>
      </w:r>
      <w:r>
        <w:rPr>
          <w:rFonts w:hint="eastAsia" w:ascii="仿宋_GB2312" w:hAnsi="仿宋_GB2312" w:eastAsia="仿宋_GB2312"/>
          <w:b w:val="0"/>
          <w:sz w:val="32"/>
          <w:lang w:eastAsia="zh-CN"/>
        </w:rPr>
        <w:t>，</w:t>
      </w:r>
      <w:r>
        <w:rPr>
          <w:rFonts w:hint="eastAsia" w:ascii="仿宋_GB2312" w:hAnsi="仿宋_GB2312" w:eastAsia="仿宋_GB2312"/>
          <w:b w:val="0"/>
          <w:sz w:val="32"/>
        </w:rPr>
        <w:t>人员经费</w:t>
      </w:r>
      <w:r>
        <w:rPr>
          <w:rFonts w:hint="eastAsia" w:ascii="仿宋_GB2312" w:hAnsi="仿宋_GB2312" w:eastAsia="仿宋_GB2312"/>
          <w:b w:val="0"/>
          <w:sz w:val="32"/>
          <w:lang w:val="en-US" w:eastAsia="zh-CN"/>
        </w:rPr>
        <w:t>支出</w:t>
      </w:r>
      <w:r>
        <w:rPr>
          <w:rFonts w:hint="eastAsia" w:ascii="仿宋_GB2312" w:hAnsi="仿宋_GB2312" w:eastAsia="仿宋_GB2312"/>
          <w:b w:val="0"/>
          <w:sz w:val="32"/>
        </w:rPr>
        <w:t>增加。</w:t>
      </w:r>
    </w:p>
    <w:p w14:paraId="0BB7F9A7">
      <w:pPr>
        <w:spacing w:line="640" w:lineRule="exact"/>
        <w:ind w:firstLine="640"/>
        <w:jc w:val="both"/>
        <w:outlineLvl w:val="2"/>
      </w:pPr>
      <w:r>
        <w:rPr>
          <w:rFonts w:ascii="黑体" w:hAnsi="黑体" w:eastAsia="黑体"/>
          <w:sz w:val="32"/>
        </w:rPr>
        <w:t>二、收入决算情况说明</w:t>
      </w:r>
    </w:p>
    <w:p w14:paraId="1A053BDB">
      <w:pPr>
        <w:spacing w:line="580" w:lineRule="exact"/>
        <w:ind w:firstLine="640"/>
        <w:jc w:val="both"/>
      </w:pPr>
      <w:r>
        <w:rPr>
          <w:rFonts w:ascii="仿宋_GB2312" w:hAnsi="仿宋_GB2312" w:eastAsia="仿宋_GB2312"/>
          <w:b/>
          <w:sz w:val="32"/>
        </w:rPr>
        <w:t>本年收入493.37万元，</w:t>
      </w:r>
      <w:r>
        <w:rPr>
          <w:rFonts w:ascii="仿宋_GB2312" w:hAnsi="仿宋_GB2312" w:eastAsia="仿宋_GB2312"/>
          <w:b w:val="0"/>
          <w:sz w:val="32"/>
        </w:rPr>
        <w:t>其中：财政拨款收入493.21万元，占99.97%；上级补助收入0.00万元，占0.00%；事业收入0.00万元，占0.00%；经营收入0.00万元，占0.00%；附属单位上缴收入0.00万元，占0.00%；其他收入0.16万元，占0.03%。</w:t>
      </w:r>
    </w:p>
    <w:p w14:paraId="4F3C1A32">
      <w:pPr>
        <w:spacing w:line="640" w:lineRule="exact"/>
        <w:ind w:firstLine="640"/>
        <w:jc w:val="both"/>
        <w:outlineLvl w:val="2"/>
      </w:pPr>
      <w:r>
        <w:rPr>
          <w:rFonts w:ascii="黑体" w:hAnsi="黑体" w:eastAsia="黑体"/>
          <w:sz w:val="32"/>
        </w:rPr>
        <w:t>三、支出决算情况说明</w:t>
      </w:r>
    </w:p>
    <w:p w14:paraId="58884074">
      <w:pPr>
        <w:spacing w:line="580" w:lineRule="exact"/>
        <w:ind w:firstLine="640"/>
        <w:jc w:val="both"/>
      </w:pPr>
      <w:r>
        <w:rPr>
          <w:rFonts w:ascii="仿宋_GB2312" w:hAnsi="仿宋_GB2312" w:eastAsia="仿宋_GB2312"/>
          <w:b/>
          <w:sz w:val="32"/>
        </w:rPr>
        <w:t>本年支出669.53万元，</w:t>
      </w:r>
      <w:r>
        <w:rPr>
          <w:rFonts w:ascii="仿宋_GB2312" w:hAnsi="仿宋_GB2312" w:eastAsia="仿宋_GB2312"/>
          <w:b w:val="0"/>
          <w:sz w:val="32"/>
        </w:rPr>
        <w:t>其中：基本支出493.21万元，占73.67%；项目支出176.32万元，占26.33%；上缴上级支出0.00万元，占0.00%；经营支出0.00万元，占0.00%；对附属单位补助支出0.00万元，占0.00%。</w:t>
      </w:r>
    </w:p>
    <w:p w14:paraId="08017392">
      <w:pPr>
        <w:spacing w:line="640" w:lineRule="exact"/>
        <w:ind w:firstLine="640"/>
        <w:jc w:val="both"/>
        <w:outlineLvl w:val="2"/>
      </w:pPr>
      <w:r>
        <w:rPr>
          <w:rFonts w:ascii="黑体" w:hAnsi="黑体" w:eastAsia="黑体"/>
          <w:sz w:val="32"/>
        </w:rPr>
        <w:t>四、财政拨款收入支出决算总体情况说明</w:t>
      </w:r>
    </w:p>
    <w:p w14:paraId="0CF73FB0">
      <w:pPr>
        <w:spacing w:line="580" w:lineRule="exact"/>
        <w:ind w:firstLine="640"/>
        <w:jc w:val="both"/>
      </w:pPr>
      <w:r>
        <w:rPr>
          <w:rFonts w:ascii="仿宋_GB2312" w:hAnsi="仿宋_GB2312" w:eastAsia="仿宋_GB2312"/>
          <w:b/>
          <w:sz w:val="32"/>
        </w:rPr>
        <w:t>2025年度财政拨款收入总计493.21万元，</w:t>
      </w:r>
      <w:r>
        <w:rPr>
          <w:rFonts w:ascii="仿宋_GB2312" w:hAnsi="仿宋_GB2312" w:eastAsia="仿宋_GB2312"/>
          <w:b w:val="0"/>
          <w:sz w:val="32"/>
        </w:rPr>
        <w:t>其中：年初财政拨款结转和结余0.00万元，本年财政拨款收入493.21万元。</w:t>
      </w:r>
      <w:r>
        <w:rPr>
          <w:rFonts w:ascii="仿宋_GB2312" w:hAnsi="仿宋_GB2312" w:eastAsia="仿宋_GB2312"/>
          <w:b/>
          <w:sz w:val="32"/>
        </w:rPr>
        <w:t>财政拨款支出总计493.21万元，</w:t>
      </w:r>
      <w:r>
        <w:rPr>
          <w:rFonts w:ascii="仿宋_GB2312" w:hAnsi="仿宋_GB2312" w:eastAsia="仿宋_GB2312"/>
          <w:b w:val="0"/>
          <w:sz w:val="32"/>
        </w:rPr>
        <w:t>其中：年末财政拨款结转和结余0.00万元，本年财政拨款支出493.21万元。</w:t>
      </w:r>
    </w:p>
    <w:p w14:paraId="36871DD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增加6.56万元，增长1.35%，主要原因是：</w:t>
      </w:r>
      <w:r>
        <w:rPr>
          <w:rFonts w:hint="eastAsia" w:ascii="仿宋_GB2312" w:hAnsi="仿宋_GB2312" w:eastAsia="仿宋_GB2312"/>
          <w:b w:val="0"/>
          <w:sz w:val="32"/>
        </w:rPr>
        <w:t>本年在职人员工资调增，社保、公积金基数调增，</w:t>
      </w:r>
      <w:r>
        <w:rPr>
          <w:rFonts w:ascii="仿宋_GB2312" w:hAnsi="仿宋_GB2312" w:eastAsia="仿宋_GB2312"/>
          <w:b w:val="0"/>
          <w:sz w:val="32"/>
        </w:rPr>
        <w:t>增加实缴职业年金部分</w:t>
      </w:r>
      <w:r>
        <w:rPr>
          <w:rFonts w:hint="eastAsia" w:ascii="仿宋_GB2312" w:hAnsi="仿宋_GB2312" w:eastAsia="仿宋_GB2312"/>
          <w:b w:val="0"/>
          <w:sz w:val="32"/>
          <w:lang w:eastAsia="zh-CN"/>
        </w:rPr>
        <w:t>，</w:t>
      </w:r>
      <w:r>
        <w:rPr>
          <w:rFonts w:hint="eastAsia" w:ascii="仿宋_GB2312" w:hAnsi="仿宋_GB2312" w:eastAsia="仿宋_GB2312"/>
          <w:b w:val="0"/>
          <w:sz w:val="32"/>
        </w:rPr>
        <w:t>人员经费</w:t>
      </w:r>
      <w:r>
        <w:rPr>
          <w:rFonts w:hint="eastAsia" w:ascii="仿宋_GB2312" w:hAnsi="仿宋_GB2312" w:eastAsia="仿宋_GB2312"/>
          <w:b w:val="0"/>
          <w:sz w:val="32"/>
          <w:lang w:val="en-US" w:eastAsia="zh-CN"/>
        </w:rPr>
        <w:t>支出</w:t>
      </w:r>
      <w:r>
        <w:rPr>
          <w:rFonts w:hint="eastAsia" w:ascii="仿宋_GB2312" w:hAnsi="仿宋_GB2312" w:eastAsia="仿宋_GB2312"/>
          <w:b w:val="0"/>
          <w:sz w:val="32"/>
        </w:rPr>
        <w:t>增加</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年初预算数429.65万元，决算数493.21万元，预决算差异率14.79%，主要原因是：年中追加人员工资、社保、公积金基数调增部分资金，追加实缴职业年金部分，导致预决算存在差异。</w:t>
      </w:r>
    </w:p>
    <w:p w14:paraId="25A81112">
      <w:pPr>
        <w:spacing w:line="640" w:lineRule="exact"/>
        <w:ind w:firstLine="640"/>
        <w:jc w:val="both"/>
        <w:outlineLvl w:val="2"/>
      </w:pPr>
      <w:r>
        <w:rPr>
          <w:rFonts w:ascii="黑体" w:hAnsi="黑体" w:eastAsia="黑体"/>
          <w:sz w:val="32"/>
        </w:rPr>
        <w:t>五、一般公共预算财政拨款支出决算情况说明</w:t>
      </w:r>
    </w:p>
    <w:p w14:paraId="196BB2BA">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关后勤服务保障工作、事业发展等重点支出，体现在有关支出科目中。</w:t>
      </w:r>
    </w:p>
    <w:p w14:paraId="6E1F452E">
      <w:pPr>
        <w:spacing w:line="580" w:lineRule="exact"/>
        <w:ind w:firstLine="640"/>
        <w:jc w:val="both"/>
      </w:pPr>
      <w:r>
        <w:rPr>
          <w:rFonts w:ascii="仿宋_GB2312" w:hAnsi="仿宋_GB2312" w:eastAsia="仿宋_GB2312"/>
          <w:b w:val="0"/>
          <w:sz w:val="32"/>
        </w:rPr>
        <w:t>按照支出功能分类，教育支出（类）教育管理事务（款）机关服务（项）的支出占本年财政拨款支出总额的比重最高，2025年度决算数为493.21万元，占比100.00%，主要用于在职人员工资福利支出、公用经费支出。</w:t>
      </w:r>
    </w:p>
    <w:p w14:paraId="0863917F">
      <w:pPr>
        <w:spacing w:line="640" w:lineRule="exact"/>
        <w:ind w:firstLine="640"/>
        <w:jc w:val="both"/>
        <w:outlineLvl w:val="3"/>
      </w:pPr>
      <w:r>
        <w:rPr>
          <w:rFonts w:ascii="楷体_GB2312" w:hAnsi="楷体_GB2312" w:eastAsia="楷体_GB2312"/>
          <w:b/>
          <w:sz w:val="32"/>
        </w:rPr>
        <w:t>（一）一般公共预算财政拨款支出决算总体情况</w:t>
      </w:r>
    </w:p>
    <w:p w14:paraId="4CEA6535">
      <w:pPr>
        <w:spacing w:line="580" w:lineRule="exact"/>
        <w:ind w:firstLine="640"/>
        <w:jc w:val="both"/>
      </w:pPr>
      <w:r>
        <w:rPr>
          <w:rFonts w:ascii="仿宋_GB2312" w:hAnsi="仿宋_GB2312" w:eastAsia="仿宋_GB2312"/>
          <w:b/>
          <w:sz w:val="32"/>
        </w:rPr>
        <w:t>2025年度一般公共预算财政拨款支出493.21万元，</w:t>
      </w:r>
      <w:r>
        <w:rPr>
          <w:rFonts w:ascii="仿宋_GB2312" w:hAnsi="仿宋_GB2312" w:eastAsia="仿宋_GB2312"/>
          <w:b w:val="0"/>
          <w:sz w:val="32"/>
        </w:rPr>
        <w:t>占本年支出合计的73.67%。</w:t>
      </w:r>
      <w:r>
        <w:rPr>
          <w:rFonts w:ascii="仿宋_GB2312" w:hAnsi="仿宋_GB2312" w:eastAsia="仿宋_GB2312"/>
          <w:b/>
          <w:sz w:val="32"/>
        </w:rPr>
        <w:t>与上年相比，</w:t>
      </w:r>
      <w:r>
        <w:rPr>
          <w:rFonts w:ascii="仿宋_GB2312" w:hAnsi="仿宋_GB2312" w:eastAsia="仿宋_GB2312"/>
          <w:b w:val="0"/>
          <w:sz w:val="32"/>
        </w:rPr>
        <w:t>增加6.56万元，增长1.35%，主要原因是：</w:t>
      </w:r>
      <w:r>
        <w:rPr>
          <w:rFonts w:hint="eastAsia" w:ascii="仿宋_GB2312" w:hAnsi="仿宋_GB2312" w:eastAsia="仿宋_GB2312"/>
          <w:b w:val="0"/>
          <w:sz w:val="32"/>
        </w:rPr>
        <w:t>本年在职人员工资调增，社保、公积金基数调增，</w:t>
      </w:r>
      <w:r>
        <w:rPr>
          <w:rFonts w:ascii="仿宋_GB2312" w:hAnsi="仿宋_GB2312" w:eastAsia="仿宋_GB2312"/>
          <w:b w:val="0"/>
          <w:sz w:val="32"/>
        </w:rPr>
        <w:t>增加实缴职业年金部分</w:t>
      </w:r>
      <w:r>
        <w:rPr>
          <w:rFonts w:hint="eastAsia" w:ascii="仿宋_GB2312" w:hAnsi="仿宋_GB2312" w:eastAsia="仿宋_GB2312"/>
          <w:b w:val="0"/>
          <w:sz w:val="32"/>
          <w:lang w:eastAsia="zh-CN"/>
        </w:rPr>
        <w:t>，</w:t>
      </w:r>
      <w:r>
        <w:rPr>
          <w:rFonts w:hint="eastAsia" w:ascii="仿宋_GB2312" w:hAnsi="仿宋_GB2312" w:eastAsia="仿宋_GB2312"/>
          <w:b w:val="0"/>
          <w:sz w:val="32"/>
        </w:rPr>
        <w:t>人员经费</w:t>
      </w:r>
      <w:r>
        <w:rPr>
          <w:rFonts w:hint="eastAsia" w:ascii="仿宋_GB2312" w:hAnsi="仿宋_GB2312" w:eastAsia="仿宋_GB2312"/>
          <w:b w:val="0"/>
          <w:sz w:val="32"/>
          <w:lang w:val="en-US" w:eastAsia="zh-CN"/>
        </w:rPr>
        <w:t>支出</w:t>
      </w:r>
      <w:r>
        <w:rPr>
          <w:rFonts w:hint="eastAsia" w:ascii="仿宋_GB2312" w:hAnsi="仿宋_GB2312" w:eastAsia="仿宋_GB2312"/>
          <w:b w:val="0"/>
          <w:sz w:val="32"/>
        </w:rPr>
        <w:t>增加</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年初预算数429.65万元，决算数493.21万元，预决算差异率14.79%，主要原因是：年中追加人员工资、社保、公积金基数调增部分资金，追加实缴职业年金部分，导致预决算存在差异。</w:t>
      </w:r>
    </w:p>
    <w:p w14:paraId="6AB17FE5">
      <w:pPr>
        <w:spacing w:line="640" w:lineRule="exact"/>
        <w:ind w:firstLine="640"/>
        <w:jc w:val="both"/>
        <w:outlineLvl w:val="3"/>
      </w:pPr>
      <w:r>
        <w:rPr>
          <w:rFonts w:ascii="楷体_GB2312" w:hAnsi="楷体_GB2312" w:eastAsia="楷体_GB2312"/>
          <w:b/>
          <w:sz w:val="32"/>
        </w:rPr>
        <w:t>（二）一般公共预算财政拨款支出决算结构情况</w:t>
      </w:r>
    </w:p>
    <w:p w14:paraId="3D2B8413">
      <w:pPr>
        <w:spacing w:line="580" w:lineRule="exact"/>
        <w:ind w:firstLine="640"/>
        <w:jc w:val="both"/>
      </w:pPr>
      <w:r>
        <w:rPr>
          <w:rFonts w:ascii="仿宋_GB2312" w:hAnsi="仿宋_GB2312" w:eastAsia="仿宋_GB2312"/>
          <w:b w:val="0"/>
          <w:sz w:val="32"/>
        </w:rPr>
        <w:t>1.教育支出（类）493.21万元，占100.00%。</w:t>
      </w:r>
    </w:p>
    <w:p w14:paraId="013C68A4">
      <w:pPr>
        <w:spacing w:line="640" w:lineRule="exact"/>
        <w:ind w:firstLine="640"/>
        <w:jc w:val="both"/>
        <w:outlineLvl w:val="3"/>
      </w:pPr>
      <w:r>
        <w:rPr>
          <w:rFonts w:ascii="楷体_GB2312" w:hAnsi="楷体_GB2312" w:eastAsia="楷体_GB2312"/>
          <w:b/>
          <w:sz w:val="32"/>
        </w:rPr>
        <w:t>（三）一般公共预算财政拨款支出决算具体情况</w:t>
      </w:r>
    </w:p>
    <w:p w14:paraId="5BDDF76B">
      <w:pPr>
        <w:spacing w:line="580" w:lineRule="exact"/>
        <w:ind w:firstLine="640"/>
        <w:jc w:val="both"/>
      </w:pPr>
      <w:r>
        <w:rPr>
          <w:rFonts w:ascii="仿宋_GB2312" w:hAnsi="仿宋_GB2312" w:eastAsia="仿宋_GB2312"/>
          <w:b w:val="0"/>
          <w:sz w:val="32"/>
        </w:rPr>
        <w:t>1.教育支出（类）教育管理事务（款）机关服务（项）：支出决算数为493.21万元，比上年决算增加6.56万元，增长1.35%，主要原因是：</w:t>
      </w:r>
      <w:r>
        <w:rPr>
          <w:rFonts w:hint="eastAsia" w:ascii="仿宋_GB2312" w:hAnsi="仿宋_GB2312" w:eastAsia="仿宋_GB2312"/>
          <w:b w:val="0"/>
          <w:sz w:val="32"/>
        </w:rPr>
        <w:t>本年在职人员工资调增，社保、公积金基数调增，</w:t>
      </w:r>
      <w:r>
        <w:rPr>
          <w:rFonts w:ascii="仿宋_GB2312" w:hAnsi="仿宋_GB2312" w:eastAsia="仿宋_GB2312"/>
          <w:b w:val="0"/>
          <w:sz w:val="32"/>
        </w:rPr>
        <w:t>增加实缴职业年金部分</w:t>
      </w:r>
      <w:r>
        <w:rPr>
          <w:rFonts w:hint="eastAsia" w:ascii="仿宋_GB2312" w:hAnsi="仿宋_GB2312" w:eastAsia="仿宋_GB2312"/>
          <w:b w:val="0"/>
          <w:sz w:val="32"/>
          <w:lang w:eastAsia="zh-CN"/>
        </w:rPr>
        <w:t>，</w:t>
      </w:r>
      <w:r>
        <w:rPr>
          <w:rFonts w:hint="eastAsia" w:ascii="仿宋_GB2312" w:hAnsi="仿宋_GB2312" w:eastAsia="仿宋_GB2312"/>
          <w:b w:val="0"/>
          <w:sz w:val="32"/>
        </w:rPr>
        <w:t>人员经费</w:t>
      </w:r>
      <w:r>
        <w:rPr>
          <w:rFonts w:hint="eastAsia" w:ascii="仿宋_GB2312" w:hAnsi="仿宋_GB2312" w:eastAsia="仿宋_GB2312"/>
          <w:b w:val="0"/>
          <w:sz w:val="32"/>
          <w:lang w:val="en-US" w:eastAsia="zh-CN"/>
        </w:rPr>
        <w:t>支出</w:t>
      </w:r>
      <w:r>
        <w:rPr>
          <w:rFonts w:hint="eastAsia" w:ascii="仿宋_GB2312" w:hAnsi="仿宋_GB2312" w:eastAsia="仿宋_GB2312"/>
          <w:b w:val="0"/>
          <w:sz w:val="32"/>
        </w:rPr>
        <w:t>增加</w:t>
      </w:r>
      <w:r>
        <w:rPr>
          <w:rFonts w:ascii="仿宋_GB2312" w:hAnsi="仿宋_GB2312" w:eastAsia="仿宋_GB2312"/>
          <w:b w:val="0"/>
          <w:sz w:val="32"/>
        </w:rPr>
        <w:t>。</w:t>
      </w:r>
    </w:p>
    <w:p w14:paraId="10C31258">
      <w:pPr>
        <w:spacing w:line="640" w:lineRule="exact"/>
        <w:ind w:firstLine="640"/>
        <w:jc w:val="both"/>
        <w:outlineLvl w:val="2"/>
      </w:pPr>
      <w:r>
        <w:rPr>
          <w:rFonts w:ascii="黑体" w:hAnsi="黑体" w:eastAsia="黑体"/>
          <w:sz w:val="32"/>
        </w:rPr>
        <w:t>六、一般公共预算财政拨款基本支出决算情况说明</w:t>
      </w:r>
    </w:p>
    <w:p w14:paraId="425B1611">
      <w:pPr>
        <w:spacing w:line="580" w:lineRule="exact"/>
        <w:ind w:firstLine="640"/>
        <w:jc w:val="both"/>
      </w:pPr>
      <w:r>
        <w:rPr>
          <w:rFonts w:ascii="仿宋_GB2312" w:hAnsi="仿宋_GB2312" w:eastAsia="仿宋_GB2312"/>
          <w:b w:val="0"/>
          <w:sz w:val="32"/>
        </w:rPr>
        <w:t>2025年度一般公共预算财政拨款基本支出493.21万元，其中：</w:t>
      </w:r>
      <w:r>
        <w:rPr>
          <w:rFonts w:ascii="仿宋_GB2312" w:hAnsi="仿宋_GB2312" w:eastAsia="仿宋_GB2312"/>
          <w:b/>
          <w:sz w:val="32"/>
        </w:rPr>
        <w:t>人员经费477.31万元，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其他对个人和家庭的补助。</w:t>
      </w:r>
    </w:p>
    <w:p w14:paraId="75403B8B">
      <w:pPr>
        <w:spacing w:line="580" w:lineRule="exact"/>
        <w:ind w:firstLine="640"/>
        <w:jc w:val="both"/>
      </w:pPr>
      <w:r>
        <w:rPr>
          <w:rFonts w:ascii="仿宋_GB2312" w:hAnsi="仿宋_GB2312" w:eastAsia="仿宋_GB2312"/>
          <w:b/>
          <w:sz w:val="32"/>
        </w:rPr>
        <w:t>公用经费15.90万元，</w:t>
      </w:r>
      <w:r>
        <w:rPr>
          <w:rFonts w:ascii="仿宋_GB2312" w:hAnsi="仿宋_GB2312" w:eastAsia="仿宋_GB2312"/>
          <w:b w:val="0"/>
          <w:sz w:val="32"/>
        </w:rPr>
        <w:t>包括：办公费、水费、邮电费、差旅费、工会经费、福利费、其他商品和服务支出。</w:t>
      </w:r>
    </w:p>
    <w:p w14:paraId="795E699A">
      <w:pPr>
        <w:spacing w:line="640" w:lineRule="exact"/>
        <w:ind w:firstLine="640"/>
        <w:jc w:val="both"/>
        <w:outlineLvl w:val="2"/>
      </w:pPr>
      <w:r>
        <w:rPr>
          <w:rFonts w:ascii="黑体" w:hAnsi="黑体" w:eastAsia="黑体"/>
          <w:sz w:val="32"/>
        </w:rPr>
        <w:t>七、政府性基金预算财政拨款收入支出决算情况说明</w:t>
      </w:r>
    </w:p>
    <w:p w14:paraId="658F264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C5DAC83">
      <w:pPr>
        <w:spacing w:line="640" w:lineRule="exact"/>
        <w:ind w:firstLine="640"/>
        <w:jc w:val="both"/>
        <w:outlineLvl w:val="2"/>
      </w:pPr>
      <w:r>
        <w:rPr>
          <w:rFonts w:ascii="黑体" w:hAnsi="黑体" w:eastAsia="黑体"/>
          <w:sz w:val="32"/>
        </w:rPr>
        <w:t>八、国有资本经营预算财政拨款收入支出决算情况说明</w:t>
      </w:r>
    </w:p>
    <w:p w14:paraId="30B38A4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C04D150">
      <w:pPr>
        <w:spacing w:line="640" w:lineRule="exact"/>
        <w:ind w:firstLine="640"/>
        <w:jc w:val="both"/>
        <w:outlineLvl w:val="2"/>
      </w:pPr>
      <w:r>
        <w:rPr>
          <w:rFonts w:ascii="黑体" w:hAnsi="黑体" w:eastAsia="黑体"/>
          <w:sz w:val="32"/>
        </w:rPr>
        <w:t>九、财政拨款“三公”经费支出决算情况说明</w:t>
      </w:r>
    </w:p>
    <w:p w14:paraId="6765857C">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1810992B">
      <w:pPr>
        <w:spacing w:line="580" w:lineRule="exact"/>
        <w:ind w:firstLine="640"/>
        <w:jc w:val="both"/>
      </w:pPr>
      <w:r>
        <w:rPr>
          <w:rFonts w:ascii="仿宋_GB2312" w:hAnsi="仿宋_GB2312" w:eastAsia="仿宋_GB2312"/>
          <w:b/>
          <w:sz w:val="32"/>
        </w:rPr>
        <w:t>具体情况如下：</w:t>
      </w:r>
    </w:p>
    <w:p w14:paraId="50C5459D">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625C3A4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6辆，与公务用车保有量差异原因是：其他车辆6辆，由教育厅机关统一管理使用且承担相关费用。</w:t>
      </w:r>
    </w:p>
    <w:p w14:paraId="3136CB9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FCACBC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9636373">
      <w:pPr>
        <w:spacing w:line="640" w:lineRule="exact"/>
        <w:ind w:firstLine="640"/>
        <w:jc w:val="both"/>
        <w:outlineLvl w:val="2"/>
      </w:pPr>
      <w:r>
        <w:rPr>
          <w:rFonts w:ascii="黑体" w:hAnsi="黑体" w:eastAsia="黑体"/>
          <w:sz w:val="32"/>
        </w:rPr>
        <w:t>十、其他重要事项的情况说明</w:t>
      </w:r>
    </w:p>
    <w:p w14:paraId="61F0EC31">
      <w:pPr>
        <w:spacing w:line="640" w:lineRule="exact"/>
        <w:ind w:firstLine="640"/>
        <w:jc w:val="both"/>
        <w:outlineLvl w:val="3"/>
      </w:pPr>
      <w:r>
        <w:rPr>
          <w:rFonts w:ascii="楷体_GB2312" w:hAnsi="楷体_GB2312" w:eastAsia="楷体_GB2312"/>
          <w:b/>
          <w:sz w:val="32"/>
        </w:rPr>
        <w:t>（一）机关运行经费及公用经费支出情况</w:t>
      </w:r>
    </w:p>
    <w:p w14:paraId="2D9D5E49">
      <w:pPr>
        <w:spacing w:line="580" w:lineRule="exact"/>
        <w:ind w:firstLine="640"/>
        <w:jc w:val="both"/>
      </w:pPr>
      <w:r>
        <w:rPr>
          <w:rFonts w:ascii="仿宋_GB2312" w:hAnsi="仿宋_GB2312" w:eastAsia="仿宋_GB2312"/>
          <w:b w:val="0"/>
          <w:sz w:val="32"/>
        </w:rPr>
        <w:t>2025年度新疆维吾尔自治区教育厅机关服务中心（事业单位）公用经费支出15.90万元，比上年减少39.75万元，下降71.43%，主要原因是：本年减少差旅费、维修（护）费，导致公用经费减少。</w:t>
      </w:r>
    </w:p>
    <w:p w14:paraId="63253A82">
      <w:pPr>
        <w:spacing w:line="640" w:lineRule="exact"/>
        <w:ind w:firstLine="640"/>
        <w:jc w:val="both"/>
        <w:outlineLvl w:val="3"/>
      </w:pPr>
      <w:r>
        <w:rPr>
          <w:rFonts w:ascii="楷体_GB2312" w:hAnsi="楷体_GB2312" w:eastAsia="楷体_GB2312"/>
          <w:b/>
          <w:sz w:val="32"/>
        </w:rPr>
        <w:t>（二）政府采购情况</w:t>
      </w:r>
    </w:p>
    <w:p w14:paraId="252A3024">
      <w:pPr>
        <w:spacing w:line="580" w:lineRule="exact"/>
        <w:ind w:firstLine="640"/>
        <w:jc w:val="both"/>
      </w:pPr>
      <w:r>
        <w:rPr>
          <w:rFonts w:ascii="仿宋_GB2312" w:hAnsi="仿宋_GB2312" w:eastAsia="仿宋_GB2312"/>
          <w:b w:val="0"/>
          <w:sz w:val="32"/>
        </w:rPr>
        <w:t>2025年度政府采购支出总额0.31万元，其中：政府采购货物支出0.11万元、政府采购工程支出0.00万元、政府采购服务支出0.20万元。</w:t>
      </w:r>
    </w:p>
    <w:p w14:paraId="3A57892B">
      <w:pPr>
        <w:spacing w:line="580" w:lineRule="exact"/>
        <w:ind w:firstLine="640"/>
        <w:jc w:val="both"/>
      </w:pPr>
      <w:r>
        <w:rPr>
          <w:rFonts w:ascii="仿宋_GB2312" w:hAnsi="仿宋_GB2312" w:eastAsia="仿宋_GB2312"/>
          <w:b w:val="0"/>
          <w:sz w:val="32"/>
        </w:rPr>
        <w:t>授予中小企业合同金额0.31万元，占政府采购支出总额的100.00%，其中：授予小微企业合同金额0.11万元，占政府采购支出总额的35.48%。</w:t>
      </w:r>
    </w:p>
    <w:p w14:paraId="19880950">
      <w:pPr>
        <w:spacing w:line="640" w:lineRule="exact"/>
        <w:ind w:firstLine="640"/>
        <w:jc w:val="both"/>
        <w:outlineLvl w:val="3"/>
      </w:pPr>
      <w:r>
        <w:rPr>
          <w:rFonts w:ascii="楷体_GB2312" w:hAnsi="楷体_GB2312" w:eastAsia="楷体_GB2312"/>
          <w:b/>
          <w:sz w:val="32"/>
        </w:rPr>
        <w:t>（三）国有资产占用情况说明</w:t>
      </w:r>
    </w:p>
    <w:p w14:paraId="7376E35A">
      <w:pPr>
        <w:spacing w:line="580" w:lineRule="exact"/>
        <w:ind w:firstLine="640"/>
        <w:jc w:val="both"/>
      </w:pPr>
      <w:r>
        <w:rPr>
          <w:rFonts w:ascii="仿宋_GB2312" w:hAnsi="仿宋_GB2312" w:eastAsia="仿宋_GB2312"/>
          <w:b w:val="0"/>
          <w:sz w:val="32"/>
        </w:rPr>
        <w:t>截至2025年12月31日，房屋0.00平方米，价值0.00万元。车辆6辆，价值139.36万元，其中：副部（省）级及以上领导用车0辆、主要负责人用车0辆、机要通信用车0辆、应急保障用车0辆、执法执勤用车0辆、特种专业技术用车0辆、离退休干部服务用车0辆、其他用车6辆，其他用车主要是：单位业务用车。单价100万元（含）以上设备（不含车辆）0台（套）。</w:t>
      </w:r>
    </w:p>
    <w:p w14:paraId="5A195266">
      <w:pPr>
        <w:spacing w:line="640" w:lineRule="exact"/>
        <w:ind w:firstLine="640"/>
        <w:jc w:val="both"/>
        <w:outlineLvl w:val="2"/>
      </w:pPr>
      <w:r>
        <w:rPr>
          <w:rFonts w:ascii="黑体" w:hAnsi="黑体" w:eastAsia="黑体"/>
          <w:sz w:val="32"/>
        </w:rPr>
        <w:t>十一、预算绩效的情况说明</w:t>
      </w:r>
    </w:p>
    <w:p w14:paraId="65848DFC">
      <w:pPr>
        <w:spacing w:line="580" w:lineRule="exact"/>
        <w:ind w:firstLine="640"/>
        <w:jc w:val="both"/>
      </w:pPr>
      <w:r>
        <w:rPr>
          <w:rFonts w:ascii="仿宋_GB2312" w:hAnsi="仿宋_GB2312" w:eastAsia="仿宋_GB2312"/>
          <w:b w:val="0"/>
          <w:sz w:val="32"/>
        </w:rPr>
        <w:t>根据预算绩效管理要求，本单位预算绩效评价项目1个，全年预算数212.33万元，全年执行数176.16万元。预算绩效管理取得的成效：一是及时反馈，促进了单位及时履职；二是提前谋划，促进工作顺利展开。发现的问题及原因：一是资金使用部门对绩效监控工作不理解</w:t>
      </w:r>
      <w:bookmarkStart w:id="0" w:name="_GoBack"/>
      <w:r>
        <w:rPr>
          <w:rFonts w:hint="eastAsia" w:ascii="仿宋_GB2312" w:hAnsi="仿宋_GB2312" w:eastAsia="仿宋_GB2312"/>
          <w:b w:val="0"/>
          <w:sz w:val="32"/>
          <w:lang w:eastAsia="zh-CN"/>
        </w:rPr>
        <w:t>，在</w:t>
      </w:r>
      <w:bookmarkEnd w:id="0"/>
      <w:r>
        <w:rPr>
          <w:rFonts w:ascii="仿宋_GB2312" w:hAnsi="仿宋_GB2312" w:eastAsia="仿宋_GB2312"/>
          <w:b w:val="0"/>
          <w:sz w:val="32"/>
        </w:rPr>
        <w:t>协调配合上存在困难；二是对绩效目标等理解不深，包括财务人员和资金使用管理人员还需进一步加强培训。下一步改进措施：一是落实责任，将绩效监控工作为单位重点工作之一，由主要领导亲自安排部署，分工负责，责任落实到人；二是总结经验，对绩效目标的设定进行改进，加强绩效目标设定的审核。具体附项目支出绩效自评表。</w:t>
      </w:r>
    </w:p>
    <w:p w14:paraId="199A78A4">
      <w:r>
        <w:br w:type="page"/>
      </w:r>
    </w:p>
    <w:p w14:paraId="62FBF6B3">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1185D0F4">
        <w:tblPrEx>
          <w:tblCellMar>
            <w:top w:w="36" w:type="dxa"/>
            <w:left w:w="36" w:type="dxa"/>
            <w:bottom w:w="36" w:type="dxa"/>
            <w:right w:w="36" w:type="dxa"/>
          </w:tblCellMar>
        </w:tblPrEx>
        <w:trPr>
          <w:trHeight w:val="408"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B65AB82">
            <w:pPr>
              <w:spacing w:before="0" w:after="0" w:line="240" w:lineRule="auto"/>
              <w:jc w:val="center"/>
            </w:pPr>
            <w:r>
              <w:rPr>
                <w:rFonts w:ascii="宋体" w:hAnsi="宋体" w:eastAsia="宋体"/>
                <w:b/>
                <w:i w:val="0"/>
                <w:sz w:val="32"/>
              </w:rPr>
              <w:t>项目支出绩效自评表</w:t>
            </w:r>
          </w:p>
        </w:tc>
      </w:tr>
      <w:tr w14:paraId="40140D81">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B204793">
            <w:pPr>
              <w:spacing w:before="0" w:after="0" w:line="240" w:lineRule="auto"/>
              <w:jc w:val="center"/>
            </w:pPr>
            <w:r>
              <w:rPr>
                <w:rFonts w:ascii="宋体" w:hAnsi="宋体" w:eastAsia="宋体"/>
                <w:b w:val="0"/>
                <w:i w:val="0"/>
                <w:sz w:val="22"/>
              </w:rPr>
              <w:t>(2025年度)</w:t>
            </w:r>
          </w:p>
        </w:tc>
      </w:tr>
      <w:tr w14:paraId="440F9A83">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8ACAE">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B2DC81D">
            <w:pPr>
              <w:spacing w:before="0" w:after="0" w:line="240" w:lineRule="auto"/>
              <w:jc w:val="center"/>
            </w:pPr>
            <w:r>
              <w:rPr>
                <w:rFonts w:ascii="宋体" w:hAnsi="宋体" w:eastAsia="宋体"/>
                <w:b w:val="0"/>
                <w:i w:val="0"/>
                <w:sz w:val="18"/>
              </w:rPr>
              <w:t>2025年保障运行类-后勤保障项目</w:t>
            </w:r>
          </w:p>
        </w:tc>
      </w:tr>
      <w:tr w14:paraId="5D4B4365">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5D27B">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E061F0">
            <w:pPr>
              <w:spacing w:before="0" w:after="0" w:line="240" w:lineRule="auto"/>
              <w:jc w:val="center"/>
            </w:pPr>
            <w:r>
              <w:rPr>
                <w:rFonts w:ascii="宋体" w:hAnsi="宋体" w:eastAsia="宋体"/>
                <w:b w:val="0"/>
                <w:i w:val="0"/>
                <w:sz w:val="18"/>
              </w:rPr>
              <w:t>新疆维吾尔自治区教育厅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65E27">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4156EF">
            <w:pPr>
              <w:spacing w:before="0" w:after="0" w:line="240" w:lineRule="auto"/>
              <w:jc w:val="center"/>
            </w:pPr>
            <w:r>
              <w:rPr>
                <w:rFonts w:ascii="宋体" w:hAnsi="宋体" w:eastAsia="宋体"/>
                <w:b w:val="0"/>
                <w:i w:val="0"/>
                <w:sz w:val="18"/>
              </w:rPr>
              <w:t>新疆维吾尔自治区教育厅机关服务中心</w:t>
            </w:r>
          </w:p>
        </w:tc>
      </w:tr>
      <w:tr w14:paraId="5A8778E6">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28F6D">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FA97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96166B">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87707">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E0653">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2CFBA">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C6E7C">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DF016A">
            <w:pPr>
              <w:spacing w:before="0" w:after="0" w:line="240" w:lineRule="auto"/>
              <w:jc w:val="center"/>
            </w:pPr>
            <w:r>
              <w:rPr>
                <w:rFonts w:ascii="宋体" w:hAnsi="宋体" w:eastAsia="宋体"/>
                <w:b/>
                <w:i w:val="0"/>
                <w:sz w:val="18"/>
              </w:rPr>
              <w:t>得分</w:t>
            </w:r>
          </w:p>
        </w:tc>
      </w:tr>
      <w:tr w14:paraId="16267E1B">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CDF0C4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587BB">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5E7D2E">
            <w:pPr>
              <w:spacing w:before="0" w:after="0" w:line="240" w:lineRule="auto"/>
              <w:jc w:val="center"/>
            </w:pPr>
            <w:r>
              <w:rPr>
                <w:rFonts w:ascii="宋体" w:hAnsi="宋体" w:eastAsia="宋体"/>
                <w:b w:val="0"/>
                <w:i w:val="0"/>
                <w:sz w:val="18"/>
              </w:rPr>
              <w:t>212.33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AC06F">
            <w:pPr>
              <w:spacing w:before="0" w:after="0" w:line="240" w:lineRule="auto"/>
              <w:jc w:val="center"/>
            </w:pPr>
            <w:r>
              <w:rPr>
                <w:rFonts w:ascii="宋体" w:hAnsi="宋体" w:eastAsia="宋体"/>
                <w:b w:val="0"/>
                <w:i w:val="0"/>
                <w:sz w:val="18"/>
              </w:rPr>
              <w:t>212.33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54B33">
            <w:pPr>
              <w:spacing w:before="0" w:after="0" w:line="240" w:lineRule="auto"/>
              <w:jc w:val="center"/>
            </w:pPr>
            <w:r>
              <w:rPr>
                <w:rFonts w:ascii="宋体" w:hAnsi="宋体" w:eastAsia="宋体"/>
                <w:b w:val="0"/>
                <w:i w:val="0"/>
                <w:sz w:val="18"/>
              </w:rPr>
              <w:t>176.16</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E9E36">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15BBA">
            <w:pPr>
              <w:spacing w:before="0" w:after="0" w:line="240" w:lineRule="auto"/>
              <w:jc w:val="center"/>
            </w:pPr>
            <w:r>
              <w:rPr>
                <w:rFonts w:ascii="宋体" w:hAnsi="宋体" w:eastAsia="宋体"/>
                <w:b w:val="0"/>
                <w:i w:val="0"/>
                <w:sz w:val="18"/>
              </w:rPr>
              <w:t>82.97%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4C0D57">
            <w:pPr>
              <w:spacing w:before="0" w:after="0" w:line="240" w:lineRule="auto"/>
              <w:jc w:val="center"/>
            </w:pPr>
            <w:r>
              <w:rPr>
                <w:rFonts w:ascii="宋体" w:hAnsi="宋体" w:eastAsia="宋体"/>
                <w:b w:val="0"/>
                <w:i w:val="0"/>
                <w:sz w:val="18"/>
              </w:rPr>
              <w:t>5.74</w:t>
            </w:r>
          </w:p>
        </w:tc>
      </w:tr>
      <w:tr w14:paraId="477C5E9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CE51E5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A9A94">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E8B2C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227D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6279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B2C78">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C5E7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4F1F9E">
            <w:pPr>
              <w:spacing w:before="0" w:after="0" w:line="240" w:lineRule="auto"/>
              <w:jc w:val="center"/>
            </w:pPr>
            <w:r>
              <w:rPr>
                <w:rFonts w:ascii="宋体" w:hAnsi="宋体" w:eastAsia="宋体"/>
                <w:b w:val="0"/>
                <w:i w:val="0"/>
                <w:sz w:val="18"/>
              </w:rPr>
              <w:t>—</w:t>
            </w:r>
          </w:p>
        </w:tc>
      </w:tr>
      <w:tr w14:paraId="69487E0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1BB154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557E0">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527F74">
            <w:pPr>
              <w:spacing w:before="0" w:after="0" w:line="240" w:lineRule="auto"/>
              <w:jc w:val="center"/>
            </w:pPr>
            <w:r>
              <w:rPr>
                <w:rFonts w:ascii="宋体" w:hAnsi="宋体" w:eastAsia="宋体"/>
                <w:b w:val="0"/>
                <w:i w:val="0"/>
                <w:sz w:val="18"/>
              </w:rPr>
              <w:t>212.33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406F8">
            <w:pPr>
              <w:spacing w:before="0" w:after="0" w:line="240" w:lineRule="auto"/>
              <w:jc w:val="center"/>
            </w:pPr>
            <w:r>
              <w:rPr>
                <w:rFonts w:ascii="宋体" w:hAnsi="宋体" w:eastAsia="宋体"/>
                <w:b w:val="0"/>
                <w:i w:val="0"/>
                <w:sz w:val="18"/>
              </w:rPr>
              <w:t>212.33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11E8C">
            <w:pPr>
              <w:spacing w:before="0" w:after="0" w:line="240" w:lineRule="auto"/>
              <w:jc w:val="center"/>
            </w:pPr>
            <w:r>
              <w:rPr>
                <w:rFonts w:ascii="宋体" w:hAnsi="宋体" w:eastAsia="宋体"/>
                <w:b w:val="0"/>
                <w:i w:val="0"/>
                <w:sz w:val="18"/>
              </w:rPr>
              <w:t>176.16</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D5215">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89B9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3C13CA">
            <w:pPr>
              <w:spacing w:before="0" w:after="0" w:line="240" w:lineRule="auto"/>
              <w:jc w:val="center"/>
            </w:pPr>
            <w:r>
              <w:rPr>
                <w:rFonts w:ascii="宋体" w:hAnsi="宋体" w:eastAsia="宋体"/>
                <w:b w:val="0"/>
                <w:i w:val="0"/>
                <w:sz w:val="18"/>
              </w:rPr>
              <w:t>—</w:t>
            </w:r>
          </w:p>
        </w:tc>
      </w:tr>
      <w:tr w14:paraId="0D17B8C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E96856">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12DD11">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F79752">
            <w:pPr>
              <w:spacing w:before="0" w:after="0" w:line="240" w:lineRule="auto"/>
              <w:jc w:val="center"/>
            </w:pPr>
            <w:r>
              <w:rPr>
                <w:rFonts w:ascii="宋体" w:hAnsi="宋体" w:eastAsia="宋体"/>
                <w:b/>
                <w:i w:val="0"/>
                <w:sz w:val="18"/>
              </w:rPr>
              <w:t>实际完成情况</w:t>
            </w:r>
          </w:p>
        </w:tc>
      </w:tr>
      <w:tr w14:paraId="2F4AA3AB">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B8F07F"/>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A8308E">
            <w:pPr>
              <w:spacing w:before="0" w:after="0" w:line="240" w:lineRule="auto"/>
              <w:jc w:val="center"/>
            </w:pPr>
            <w:r>
              <w:rPr>
                <w:rFonts w:ascii="宋体" w:hAnsi="宋体" w:eastAsia="宋体"/>
                <w:b w:val="0"/>
                <w:i w:val="0"/>
                <w:sz w:val="18"/>
              </w:rPr>
              <w:t>通过为53人提供运行资金，保障厅机关正常运转，并提升后勤保障能力。</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8BE66A">
            <w:pPr>
              <w:spacing w:before="0" w:after="0" w:line="240" w:lineRule="auto"/>
              <w:jc w:val="center"/>
            </w:pPr>
            <w:r>
              <w:rPr>
                <w:rFonts w:ascii="宋体" w:hAnsi="宋体" w:eastAsia="宋体"/>
                <w:b w:val="0"/>
                <w:i w:val="0"/>
                <w:sz w:val="18"/>
              </w:rPr>
              <w:t>已基本完成目标，保障了厅机关的正常运转，并提升后勤保障能力</w:t>
            </w:r>
          </w:p>
        </w:tc>
      </w:tr>
      <w:tr w14:paraId="3CCA8216">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FDCCD4">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544D8C">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7355FB">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FAAE5D">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249BB9">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EB5CB6">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161B96">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B4DBD0">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E39089">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38E957">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5922A">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A56505">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BC5A04">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896F48">
            <w:pPr>
              <w:spacing w:before="0" w:after="0" w:line="240" w:lineRule="auto"/>
              <w:jc w:val="center"/>
            </w:pPr>
            <w:r>
              <w:rPr>
                <w:rFonts w:ascii="宋体" w:hAnsi="宋体" w:eastAsia="宋体"/>
                <w:b/>
                <w:i w:val="0"/>
                <w:sz w:val="18"/>
              </w:rPr>
              <w:t>偏差原因分析及改进措施</w:t>
            </w:r>
          </w:p>
        </w:tc>
      </w:tr>
      <w:tr w14:paraId="2D23BE3E">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2F983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65FD8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0FDF3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48A5C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8C0B4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512FD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55B81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BB454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7D44F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02223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D4B39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24F00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C70C0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0E01FD"/>
        </w:tc>
      </w:tr>
      <w:tr w14:paraId="0A38F24C">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4425D8">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823521">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5D574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A9686E">
            <w:pPr>
              <w:spacing w:before="0" w:after="0" w:line="240" w:lineRule="auto"/>
              <w:jc w:val="center"/>
            </w:pPr>
            <w:r>
              <w:rPr>
                <w:rFonts w:ascii="宋体" w:hAnsi="宋体" w:eastAsia="宋体"/>
                <w:b w:val="0"/>
                <w:i w:val="0"/>
                <w:sz w:val="18"/>
              </w:rPr>
              <w:t>保障分流、长聘、派遣人数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7B9E5D">
            <w:pPr>
              <w:spacing w:before="0" w:after="0" w:line="240" w:lineRule="auto"/>
              <w:jc w:val="center"/>
            </w:pPr>
            <w:r>
              <w:rPr>
                <w:rFonts w:ascii="宋体" w:hAnsi="宋体" w:eastAsia="宋体"/>
                <w:b w:val="0"/>
                <w:i w:val="0"/>
                <w:sz w:val="18"/>
              </w:rPr>
              <w:t>25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D67847">
            <w:pPr>
              <w:spacing w:before="0" w:after="0" w:line="240" w:lineRule="auto"/>
              <w:jc w:val="center"/>
            </w:pPr>
            <w:r>
              <w:rPr>
                <w:rFonts w:ascii="宋体" w:hAnsi="宋体" w:eastAsia="宋体"/>
                <w:b w:val="0"/>
                <w:i w:val="0"/>
                <w:sz w:val="18"/>
              </w:rPr>
              <w:t>&gt;22人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AC5695">
            <w:pPr>
              <w:spacing w:before="0" w:after="0" w:line="240" w:lineRule="auto"/>
              <w:jc w:val="center"/>
            </w:pPr>
            <w:r>
              <w:rPr>
                <w:rFonts w:ascii="宋体" w:hAnsi="宋体" w:eastAsia="宋体"/>
                <w:b w:val="0"/>
                <w:i w:val="0"/>
                <w:sz w:val="18"/>
              </w:rPr>
              <w:t>=23人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1D038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4197EF">
            <w:pPr>
              <w:spacing w:before="0" w:after="0" w:line="240" w:lineRule="auto"/>
              <w:jc w:val="center"/>
            </w:pPr>
            <w:r>
              <w:rPr>
                <w:rFonts w:ascii="宋体" w:hAnsi="宋体" w:eastAsia="宋体"/>
                <w:b w:val="0"/>
                <w:i w:val="0"/>
                <w:sz w:val="18"/>
              </w:rPr>
              <w:t>25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ED97F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EA170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C5273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96836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720DBB">
            <w:pPr>
              <w:spacing w:before="0" w:after="0" w:line="240" w:lineRule="auto"/>
              <w:jc w:val="center"/>
            </w:pPr>
          </w:p>
        </w:tc>
      </w:tr>
      <w:tr w14:paraId="6E2A2A0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F5562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9F1D2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1721E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5CC657">
            <w:pPr>
              <w:spacing w:before="0" w:after="0" w:line="240" w:lineRule="auto"/>
              <w:jc w:val="center"/>
            </w:pPr>
            <w:r>
              <w:rPr>
                <w:rFonts w:ascii="宋体" w:hAnsi="宋体" w:eastAsia="宋体"/>
                <w:b w:val="0"/>
                <w:i w:val="0"/>
                <w:sz w:val="18"/>
              </w:rPr>
              <w:t>补助人数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95A34A">
            <w:pPr>
              <w:spacing w:before="0" w:after="0" w:line="240" w:lineRule="auto"/>
              <w:jc w:val="center"/>
            </w:pPr>
            <w:r>
              <w:rPr>
                <w:rFonts w:ascii="宋体" w:hAnsi="宋体" w:eastAsia="宋体"/>
                <w:b w:val="0"/>
                <w:i w:val="0"/>
                <w:sz w:val="18"/>
              </w:rPr>
              <w:t>25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BE176F">
            <w:pPr>
              <w:spacing w:before="0" w:after="0" w:line="240" w:lineRule="auto"/>
              <w:jc w:val="center"/>
            </w:pPr>
            <w:r>
              <w:rPr>
                <w:rFonts w:ascii="宋体" w:hAnsi="宋体" w:eastAsia="宋体"/>
                <w:b w:val="0"/>
                <w:i w:val="0"/>
                <w:sz w:val="18"/>
              </w:rPr>
              <w:t>&gt;=31人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EFEBD0">
            <w:pPr>
              <w:spacing w:before="0" w:after="0" w:line="240" w:lineRule="auto"/>
              <w:jc w:val="center"/>
            </w:pPr>
            <w:r>
              <w:rPr>
                <w:rFonts w:ascii="宋体" w:hAnsi="宋体" w:eastAsia="宋体"/>
                <w:b w:val="0"/>
                <w:i w:val="0"/>
                <w:sz w:val="18"/>
              </w:rPr>
              <w:t>=31人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971D1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FFB180">
            <w:pPr>
              <w:spacing w:before="0" w:after="0" w:line="240" w:lineRule="auto"/>
              <w:jc w:val="center"/>
            </w:pPr>
            <w:r>
              <w:rPr>
                <w:rFonts w:ascii="宋体" w:hAnsi="宋体" w:eastAsia="宋体"/>
                <w:b w:val="0"/>
                <w:i w:val="0"/>
                <w:sz w:val="18"/>
              </w:rPr>
              <w:t>25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88D99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48B04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4E996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20C4B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5A426B">
            <w:pPr>
              <w:spacing w:before="0" w:after="0" w:line="240" w:lineRule="auto"/>
              <w:jc w:val="center"/>
            </w:pPr>
          </w:p>
        </w:tc>
      </w:tr>
      <w:tr w14:paraId="7CBB1E0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94C6D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51AF4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758F6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B5C0F2">
            <w:pPr>
              <w:spacing w:before="0" w:after="0" w:line="240" w:lineRule="auto"/>
              <w:jc w:val="center"/>
            </w:pPr>
            <w:r>
              <w:rPr>
                <w:rFonts w:ascii="宋体" w:hAnsi="宋体" w:eastAsia="宋体"/>
                <w:b w:val="0"/>
                <w:i w:val="0"/>
                <w:sz w:val="18"/>
              </w:rPr>
              <w:t>发放资金次数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27C623">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3870D2">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BD4698">
            <w:pPr>
              <w:spacing w:before="0" w:after="0" w:line="240" w:lineRule="auto"/>
              <w:jc w:val="center"/>
            </w:pPr>
            <w:r>
              <w:rPr>
                <w:rFonts w:ascii="宋体" w:hAnsi="宋体" w:eastAsia="宋体"/>
                <w:b w:val="0"/>
                <w:i w:val="0"/>
                <w:sz w:val="18"/>
              </w:rPr>
              <w:t>=10次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B3E8C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3A1452">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1B89E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43FAA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D0161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A12C3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A0356B">
            <w:pPr>
              <w:spacing w:before="0" w:after="0" w:line="240" w:lineRule="auto"/>
              <w:jc w:val="center"/>
            </w:pPr>
          </w:p>
        </w:tc>
      </w:tr>
      <w:tr w14:paraId="0470C1B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016E2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02872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8A6A80">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59C2AA">
            <w:pPr>
              <w:spacing w:before="0" w:after="0" w:line="240" w:lineRule="auto"/>
              <w:jc w:val="center"/>
            </w:pPr>
            <w:r>
              <w:rPr>
                <w:rFonts w:ascii="宋体" w:hAnsi="宋体" w:eastAsia="宋体"/>
                <w:b w:val="0"/>
                <w:i w:val="0"/>
                <w:sz w:val="18"/>
              </w:rPr>
              <w:t>资金发放准确率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833F3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92BFA2">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8EFBFA">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62444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45459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09472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C84CD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5FC0E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EB0B8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B097DC">
            <w:pPr>
              <w:spacing w:before="0" w:after="0" w:line="240" w:lineRule="auto"/>
              <w:jc w:val="center"/>
            </w:pPr>
          </w:p>
        </w:tc>
      </w:tr>
      <w:tr w14:paraId="4B64E0E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E6623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C96DB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337474">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E8A0C0">
            <w:pPr>
              <w:spacing w:before="0" w:after="0" w:line="240" w:lineRule="auto"/>
              <w:jc w:val="center"/>
            </w:pPr>
            <w:r>
              <w:rPr>
                <w:rFonts w:ascii="宋体" w:hAnsi="宋体" w:eastAsia="宋体"/>
                <w:b w:val="0"/>
                <w:i w:val="0"/>
                <w:sz w:val="18"/>
              </w:rPr>
              <w:t>资金发放及时率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6B5E5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37D49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1C44E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978D9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A3739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9CE7C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04C3E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7FCBE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A7EA7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9B9631">
            <w:pPr>
              <w:spacing w:before="0" w:after="0" w:line="240" w:lineRule="auto"/>
              <w:jc w:val="center"/>
            </w:pPr>
          </w:p>
        </w:tc>
      </w:tr>
      <w:tr w14:paraId="42637AC3">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33F0F66">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D5891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B7274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A5320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9D766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D754A6">
            <w:pPr>
              <w:spacing w:before="0" w:after="0" w:line="240" w:lineRule="auto"/>
              <w:jc w:val="center"/>
            </w:pPr>
            <w:r>
              <w:rPr>
                <w:rFonts w:ascii="宋体" w:hAnsi="宋体" w:eastAsia="宋体"/>
                <w:b w:val="0"/>
                <w:i w:val="0"/>
                <w:sz w:val="18"/>
              </w:rPr>
              <w:t>95.74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A3882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B4603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6B554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79618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4795F1">
            <w:pPr>
              <w:spacing w:before="0" w:after="0" w:line="240" w:lineRule="auto"/>
              <w:jc w:val="center"/>
            </w:pPr>
          </w:p>
        </w:tc>
      </w:tr>
    </w:tbl>
    <w:p w14:paraId="7719FD8A">
      <w:r>
        <w:br w:type="page"/>
      </w:r>
    </w:p>
    <w:p w14:paraId="4E05E636">
      <w:pPr>
        <w:sectPr>
          <w:type w:val="continuous"/>
          <w:pgSz w:w="11906" w:h="16838"/>
          <w:pgMar w:top="1440" w:right="1800" w:bottom="1440" w:left="1800" w:header="851" w:footer="992" w:gutter="0"/>
          <w:cols w:space="720" w:num="1"/>
          <w:docGrid w:type="lines" w:linePitch="312" w:charSpace="0"/>
        </w:sectPr>
      </w:pPr>
    </w:p>
    <w:p w14:paraId="15F949CE">
      <w:pPr>
        <w:spacing w:line="640" w:lineRule="exact"/>
        <w:ind w:firstLine="640"/>
        <w:jc w:val="both"/>
        <w:outlineLvl w:val="2"/>
      </w:pPr>
      <w:r>
        <w:rPr>
          <w:rFonts w:ascii="黑体" w:hAnsi="黑体" w:eastAsia="黑体"/>
          <w:sz w:val="32"/>
        </w:rPr>
        <w:t>十二、其他需说明的事项</w:t>
      </w:r>
    </w:p>
    <w:p w14:paraId="67FFF780">
      <w:pPr>
        <w:spacing w:line="580" w:lineRule="exact"/>
        <w:ind w:firstLine="640"/>
        <w:jc w:val="both"/>
      </w:pPr>
      <w:r>
        <w:rPr>
          <w:rFonts w:ascii="仿宋_GB2312" w:hAnsi="仿宋_GB2312" w:eastAsia="仿宋_GB2312"/>
          <w:b w:val="0"/>
          <w:sz w:val="32"/>
        </w:rPr>
        <w:t>本单位无其他需说明的事项。</w:t>
      </w:r>
    </w:p>
    <w:p w14:paraId="44B45376">
      <w:r>
        <w:br w:type="page"/>
      </w:r>
    </w:p>
    <w:p w14:paraId="1CAFF195">
      <w:pPr>
        <w:spacing w:line="600" w:lineRule="exact"/>
        <w:jc w:val="center"/>
        <w:outlineLvl w:val="0"/>
      </w:pPr>
      <w:r>
        <w:rPr>
          <w:rFonts w:ascii="黑体" w:hAnsi="黑体" w:eastAsia="黑体"/>
          <w:sz w:val="32"/>
        </w:rPr>
        <w:t>第三部分 专业名词解释</w:t>
      </w:r>
    </w:p>
    <w:p w14:paraId="4E75E85C">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05ABC1B4">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304E748">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3B5DCC08">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61FCAF4">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3D323ADF">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5E4DAF77">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7171FFE3">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2BF5D303">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2A3DB35A">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3B5810FF">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5FD39F57">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6F11837E">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5E243ED9">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10332D50">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3C055B9C">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609CD8B">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262B0854">
      <w:r>
        <w:br w:type="page"/>
      </w:r>
    </w:p>
    <w:p w14:paraId="3D03D193">
      <w:pPr>
        <w:spacing w:line="240" w:lineRule="auto"/>
        <w:jc w:val="center"/>
        <w:outlineLvl w:val="1"/>
      </w:pPr>
      <w:r>
        <w:rPr>
          <w:rFonts w:ascii="黑体" w:hAnsi="黑体" w:eastAsia="黑体"/>
          <w:sz w:val="32"/>
        </w:rPr>
        <w:t>第四部分 部门决算报表（见附表）</w:t>
      </w:r>
    </w:p>
    <w:p w14:paraId="1D34F4B3">
      <w:pPr>
        <w:autoSpaceDE w:val="0"/>
        <w:autoSpaceDN w:val="0"/>
        <w:spacing w:line="600" w:lineRule="exact"/>
        <w:ind w:firstLine="640" w:firstLineChars="200"/>
      </w:pPr>
      <w:r>
        <w:rPr>
          <w:rFonts w:ascii="仿宋_GB2312" w:hAnsi="仿宋_GB2312" w:eastAsia="仿宋_GB2312"/>
          <w:b w:val="0"/>
          <w:sz w:val="32"/>
        </w:rPr>
        <w:t>一、《收入支出决算总表》</w:t>
      </w:r>
    </w:p>
    <w:p w14:paraId="6AF3C65E">
      <w:pPr>
        <w:autoSpaceDE w:val="0"/>
        <w:autoSpaceDN w:val="0"/>
        <w:spacing w:line="600" w:lineRule="exact"/>
        <w:ind w:firstLine="640" w:firstLineChars="200"/>
      </w:pPr>
      <w:r>
        <w:rPr>
          <w:rFonts w:ascii="仿宋_GB2312" w:hAnsi="仿宋_GB2312" w:eastAsia="仿宋_GB2312"/>
          <w:b w:val="0"/>
          <w:sz w:val="32"/>
        </w:rPr>
        <w:t>二、《收入决算表》</w:t>
      </w:r>
    </w:p>
    <w:p w14:paraId="73A068FE">
      <w:pPr>
        <w:autoSpaceDE w:val="0"/>
        <w:autoSpaceDN w:val="0"/>
        <w:spacing w:line="600" w:lineRule="exact"/>
        <w:ind w:firstLine="640" w:firstLineChars="200"/>
      </w:pPr>
      <w:r>
        <w:rPr>
          <w:rFonts w:ascii="仿宋_GB2312" w:hAnsi="仿宋_GB2312" w:eastAsia="仿宋_GB2312"/>
          <w:b w:val="0"/>
          <w:sz w:val="32"/>
        </w:rPr>
        <w:t>三、《支出决算表》</w:t>
      </w:r>
    </w:p>
    <w:p w14:paraId="70E12BC4">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6C1E4C89">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722FEB17">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781BD6F4">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02497838">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49552198">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03A78C0E">
      <w:pPr>
        <w:autoSpaceDE w:val="0"/>
        <w:autoSpaceDN w:val="0"/>
        <w:spacing w:line="600" w:lineRule="exact"/>
        <w:ind w:firstLine="640" w:firstLineChars="200"/>
      </w:pPr>
    </w:p>
    <w:p w14:paraId="3F9654B4">
      <w:pPr>
        <w:autoSpaceDE w:val="0"/>
        <w:autoSpaceDN w:val="0"/>
        <w:spacing w:line="600" w:lineRule="exact"/>
        <w:ind w:firstLine="640" w:firstLineChars="200"/>
      </w:pPr>
    </w:p>
    <w:p w14:paraId="19628759">
      <w:pPr>
        <w:autoSpaceDE w:val="0"/>
        <w:autoSpaceDN w:val="0"/>
        <w:spacing w:line="600" w:lineRule="exact"/>
        <w:ind w:firstLine="640" w:firstLineChars="200"/>
      </w:pPr>
    </w:p>
    <w:p w14:paraId="27024E81">
      <w:pPr>
        <w:autoSpaceDE w:val="0"/>
        <w:autoSpaceDN w:val="0"/>
        <w:spacing w:line="600" w:lineRule="exact"/>
        <w:ind w:firstLine="640" w:firstLineChars="200"/>
      </w:pPr>
    </w:p>
    <w:p w14:paraId="3F2741AA">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4714A2E-B820-460F-A117-2EEDACD2C49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3246B15-BC6A-4D6B-BA2A-993B491E50A0}"/>
  </w:font>
  <w:font w:name="仿宋_GB2312">
    <w:panose1 w:val="02010609030101010101"/>
    <w:charset w:val="86"/>
    <w:family w:val="modern"/>
    <w:pitch w:val="default"/>
    <w:sig w:usb0="00000001" w:usb1="080E0000" w:usb2="00000000" w:usb3="00000000" w:csb0="00040000" w:csb1="00000000"/>
    <w:embedRegular r:id="rId3" w:fontKey="{2F5C05AC-530F-42A5-A04D-31B2FDE2E531}"/>
  </w:font>
  <w:font w:name="楷体_GB2312">
    <w:altName w:val="楷体"/>
    <w:panose1 w:val="00000000000000000000"/>
    <w:charset w:val="00"/>
    <w:family w:val="auto"/>
    <w:pitch w:val="default"/>
    <w:sig w:usb0="00000000" w:usb1="00000000" w:usb2="00000000" w:usb3="00000000" w:csb0="00000000" w:csb1="00000000"/>
    <w:embedRegular r:id="rId4" w:fontKey="{89003DE6-DD24-42C8-9161-EE642B0B6E9D}"/>
  </w:font>
  <w:font w:name="楷体">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7B0707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5463C9"/>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9d6e7d5b-206f-43ca-811b-2da07e23ffde</errorID>
      <errorWord>，</errorWord>
      <group>L1_Word</group>
      <groupName>字词问题</groupName>
      <ability>L2_Typo</ability>
      <abilityName>字词错误</abilityName>
      <candidateList>
        <item>，在</item>
      </candidateList>
      <explain/>
      <paraID>65848DFC</paraID>
      <start>125</start>
      <end>127</end>
      <status>modified</status>
      <modifiedWord>，在</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50321df3-e25a-4ec5-8a48-c7b04ed8f919}">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5220</Words>
  <Characters>5844</Characters>
  <Lines>10</Lines>
  <Paragraphs>2</Paragraphs>
  <TotalTime>2</TotalTime>
  <ScaleCrop>false</ScaleCrop>
  <LinksUpToDate>false</LinksUpToDate>
  <CharactersWithSpaces>5854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U</cp:lastModifiedBy>
  <cp:lastPrinted>2024-07-22T11:58:00Z</cp:lastPrinted>
  <dcterms:modified xsi:type="dcterms:W3CDTF">2026-09-01T09:53:26Z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eyJoZGlkIjoiMzEwNTM5NzYwMDRjMzkwZTVkZjY2ODkwMGIxNGU0OTUiLCJ1c2VySWQiOiIyNDE2NzgwOTkifQ==</vt:lpwstr>
  </property>
</Properties>
</file>