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新疆艺术学院附属中等艺术学校</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6684F2DC">
      <w:r>
        <w:br w:type="page"/>
      </w:r>
    </w:p>
    <w:p w14:paraId="4197957C">
      <w:pPr>
        <w:spacing w:line="640" w:lineRule="exact"/>
        <w:jc w:val="center"/>
        <w:outlineLvl w:val="1"/>
      </w:pPr>
      <w:r>
        <w:rPr>
          <w:rFonts w:ascii="黑体" w:hAnsi="黑体" w:eastAsia="黑体"/>
          <w:sz w:val="32"/>
        </w:rPr>
        <w:t>第一部分 单位概况</w:t>
      </w:r>
    </w:p>
    <w:p w14:paraId="341B501A">
      <w:pPr>
        <w:spacing w:line="640" w:lineRule="exact"/>
        <w:ind w:firstLine="640"/>
        <w:jc w:val="both"/>
        <w:outlineLvl w:val="2"/>
      </w:pPr>
      <w:r>
        <w:rPr>
          <w:rFonts w:ascii="黑体" w:hAnsi="黑体" w:eastAsia="黑体"/>
          <w:sz w:val="32"/>
        </w:rPr>
        <w:t>一、主要职能</w:t>
      </w:r>
    </w:p>
    <w:p w14:paraId="284DA7DF">
      <w:pPr>
        <w:spacing w:line="580" w:lineRule="exact"/>
        <w:ind w:firstLine="640"/>
        <w:jc w:val="both"/>
      </w:pPr>
      <w:r>
        <w:rPr>
          <w:rFonts w:ascii="仿宋_GB2312" w:hAnsi="仿宋_GB2312" w:eastAsia="仿宋_GB2312"/>
          <w:sz w:val="32"/>
        </w:rPr>
        <w:t>新疆艺术学院附属中等艺术学校位于新疆艺术学院金桥校区，是新疆艺术学院直属的二级教学单位，也是目前全疆规模最大、专业性最强的艺术类中等职业学校，先后被评为“全国职业教育先进单位”，入选“第三批全国中小学中华优秀传统文化传承学校”，“自治区示范性中等职业学校”“自治区优质中等职业学校”“自治区铸牢中华民族共同体意识示范校”“自治区语言文字工作示范校”“自治区中小学美育特色校”“自治区依法治校示范校”，美术教学部党支部获批自治区党委教育工委第二批“党建工作样板支部”培育创建单位，舞蹈教学部荣获“自治区工人先锋号”荣誉称号。</w:t>
      </w:r>
    </w:p>
    <w:p w14:paraId="6653209E">
      <w:pPr>
        <w:spacing w:line="580" w:lineRule="exact"/>
        <w:ind w:firstLine="640"/>
        <w:jc w:val="both"/>
      </w:pPr>
      <w:r>
        <w:rPr>
          <w:rFonts w:ascii="仿宋_GB2312" w:hAnsi="仿宋_GB2312" w:eastAsia="仿宋_GB2312"/>
          <w:sz w:val="32"/>
        </w:rPr>
        <w:t>新疆艺术学院附属中等艺术学校注重提升学生综合素养和艺术实践能力，连续10年承办全国艺术职业院校技能大赛（新疆赛区）文化艺术类赛事活动。师生在各类艺术专业大赛中获金、银大奖近300项，应届毕业生升学、就业率在全疆同类学校中名列前茅，教育教学质量稳步提高。</w:t>
      </w:r>
    </w:p>
    <w:p w14:paraId="15687043">
      <w:pPr>
        <w:spacing w:line="640" w:lineRule="exact"/>
        <w:ind w:firstLine="640"/>
        <w:jc w:val="both"/>
        <w:outlineLvl w:val="2"/>
      </w:pPr>
      <w:r>
        <w:rPr>
          <w:rFonts w:ascii="黑体" w:hAnsi="黑体" w:eastAsia="黑体"/>
          <w:sz w:val="32"/>
        </w:rPr>
        <w:t>二、机构设置</w:t>
      </w:r>
    </w:p>
    <w:p w14:paraId="0046B04E">
      <w:pPr>
        <w:spacing w:line="580" w:lineRule="exact"/>
        <w:ind w:firstLine="640"/>
        <w:jc w:val="both"/>
      </w:pPr>
      <w:r>
        <w:rPr>
          <w:rFonts w:ascii="仿宋_GB2312" w:hAnsi="仿宋_GB2312" w:eastAsia="仿宋_GB2312"/>
          <w:sz w:val="32"/>
        </w:rPr>
        <w:t>新疆艺术学院附属中等艺术学校无下属预算单位。</w:t>
      </w:r>
    </w:p>
    <w:p w14:paraId="2645910B">
      <w:r>
        <w:br w:type="page"/>
      </w:r>
    </w:p>
    <w:p w14:paraId="5FAEC1EC">
      <w:pPr>
        <w:spacing w:line="240" w:lineRule="auto"/>
        <w:jc w:val="center"/>
        <w:outlineLvl w:val="1"/>
      </w:pPr>
      <w:r>
        <w:rPr>
          <w:rFonts w:ascii="黑体" w:hAnsi="黑体" w:eastAsia="黑体"/>
          <w:sz w:val="32"/>
        </w:rPr>
        <w:t>第二部分 部门决算情况说明</w:t>
      </w:r>
    </w:p>
    <w:p w14:paraId="5A2809CA">
      <w:pPr>
        <w:spacing w:line="640" w:lineRule="exact"/>
        <w:ind w:firstLine="640"/>
        <w:jc w:val="both"/>
        <w:outlineLvl w:val="2"/>
      </w:pPr>
      <w:r>
        <w:rPr>
          <w:rFonts w:ascii="黑体" w:hAnsi="黑体" w:eastAsia="黑体"/>
          <w:sz w:val="32"/>
        </w:rPr>
        <w:t>一、收入支出决算总体情况说明</w:t>
      </w:r>
    </w:p>
    <w:p w14:paraId="3537F504">
      <w:pPr>
        <w:spacing w:line="580" w:lineRule="exact"/>
        <w:ind w:firstLine="640"/>
        <w:jc w:val="both"/>
      </w:pPr>
      <w:r>
        <w:rPr>
          <w:rFonts w:ascii="仿宋_GB2312" w:hAnsi="仿宋_GB2312" w:eastAsia="仿宋_GB2312"/>
          <w:b/>
          <w:sz w:val="32"/>
        </w:rPr>
        <w:t>2025年度收入总计6,542.06万元，</w:t>
      </w:r>
      <w:r>
        <w:rPr>
          <w:rFonts w:ascii="仿宋_GB2312" w:hAnsi="仿宋_GB2312" w:eastAsia="仿宋_GB2312"/>
          <w:b w:val="0"/>
          <w:sz w:val="32"/>
        </w:rPr>
        <w:t>其中：本年收入合计5,935.89万元，使用非财政拨款结余（含专用结余）0.00万元，年初结转和结余606.17万元。</w:t>
      </w:r>
    </w:p>
    <w:p w14:paraId="509A2BCD">
      <w:pPr>
        <w:spacing w:line="580" w:lineRule="exact"/>
        <w:ind w:firstLine="640"/>
        <w:jc w:val="both"/>
      </w:pPr>
      <w:r>
        <w:rPr>
          <w:rFonts w:ascii="仿宋_GB2312" w:hAnsi="仿宋_GB2312" w:eastAsia="仿宋_GB2312"/>
          <w:b/>
          <w:sz w:val="32"/>
        </w:rPr>
        <w:t>2025年度支出总计6,542.06万元，</w:t>
      </w:r>
      <w:r>
        <w:rPr>
          <w:rFonts w:ascii="仿宋_GB2312" w:hAnsi="仿宋_GB2312" w:eastAsia="仿宋_GB2312"/>
          <w:b w:val="0"/>
          <w:sz w:val="32"/>
        </w:rPr>
        <w:t>其中：本年支出合计6,160.45万元，结余分配0.00万元，年末结转和结余381.61万元。</w:t>
      </w:r>
    </w:p>
    <w:p w14:paraId="53C5A1D1">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增加657.82万元，增长11.18%，主要原因是：本年增加2024年职业教育质量提升项目年初结转资金、2025年职业教育质量提升1+X项目，导致经费较上年增加。</w:t>
      </w:r>
    </w:p>
    <w:p w14:paraId="1B53D4AC">
      <w:pPr>
        <w:spacing w:line="640" w:lineRule="exact"/>
        <w:ind w:firstLine="640"/>
        <w:jc w:val="both"/>
        <w:outlineLvl w:val="2"/>
      </w:pPr>
      <w:r>
        <w:rPr>
          <w:rFonts w:ascii="黑体" w:hAnsi="黑体" w:eastAsia="黑体"/>
          <w:sz w:val="32"/>
        </w:rPr>
        <w:t>二、收入决算情况说明</w:t>
      </w:r>
    </w:p>
    <w:p w14:paraId="50AEC921">
      <w:pPr>
        <w:spacing w:line="580" w:lineRule="exact"/>
        <w:ind w:firstLine="640"/>
        <w:jc w:val="both"/>
      </w:pPr>
      <w:r>
        <w:rPr>
          <w:rFonts w:ascii="仿宋_GB2312" w:hAnsi="仿宋_GB2312" w:eastAsia="仿宋_GB2312"/>
          <w:b/>
          <w:sz w:val="32"/>
        </w:rPr>
        <w:t>本年收入5,935.89万元，</w:t>
      </w:r>
      <w:r>
        <w:rPr>
          <w:rFonts w:ascii="仿宋_GB2312" w:hAnsi="仿宋_GB2312" w:eastAsia="仿宋_GB2312"/>
          <w:b w:val="0"/>
          <w:sz w:val="32"/>
        </w:rPr>
        <w:t>其中：财政拨款收入5,550.35万元，占93.50%；上级补助收入0.00万元，占0.00%；事业收入1.60万元，占0.03%；经营收入0.00万元，占0.00%；附属单位上缴收入0.00万元，占0.00%；其他收入383.94万元，占6.47%。</w:t>
      </w:r>
    </w:p>
    <w:p w14:paraId="4C307B70">
      <w:pPr>
        <w:spacing w:line="640" w:lineRule="exact"/>
        <w:ind w:firstLine="640"/>
        <w:jc w:val="both"/>
        <w:outlineLvl w:val="2"/>
      </w:pPr>
      <w:r>
        <w:rPr>
          <w:rFonts w:ascii="黑体" w:hAnsi="黑体" w:eastAsia="黑体"/>
          <w:sz w:val="32"/>
        </w:rPr>
        <w:t>三、支出决算情况说明</w:t>
      </w:r>
    </w:p>
    <w:p w14:paraId="3835317F">
      <w:pPr>
        <w:spacing w:line="580" w:lineRule="exact"/>
        <w:ind w:firstLine="640"/>
        <w:jc w:val="both"/>
      </w:pPr>
      <w:r>
        <w:rPr>
          <w:rFonts w:ascii="仿宋_GB2312" w:hAnsi="仿宋_GB2312" w:eastAsia="仿宋_GB2312"/>
          <w:b/>
          <w:sz w:val="32"/>
        </w:rPr>
        <w:t>本年支出6,160.45万元，</w:t>
      </w:r>
      <w:r>
        <w:rPr>
          <w:rFonts w:ascii="仿宋_GB2312" w:hAnsi="仿宋_GB2312" w:eastAsia="仿宋_GB2312"/>
          <w:b w:val="0"/>
          <w:sz w:val="32"/>
        </w:rPr>
        <w:t>其中：基本支出4,456.34万元，占72.34%；项目支出1,704.11万元，占27.66%；上缴上级支出0.00万元，占0.00%；经营支出0.00万元，占0.00%；对附属单位补助支出0.00万元，占0.00%。</w:t>
      </w:r>
    </w:p>
    <w:p w14:paraId="4401AF60">
      <w:pPr>
        <w:spacing w:line="640" w:lineRule="exact"/>
        <w:ind w:firstLine="640"/>
        <w:jc w:val="both"/>
        <w:outlineLvl w:val="2"/>
      </w:pPr>
      <w:r>
        <w:rPr>
          <w:rFonts w:ascii="黑体" w:hAnsi="黑体" w:eastAsia="黑体"/>
          <w:sz w:val="32"/>
        </w:rPr>
        <w:t>四、财政拨款收入支出决算总体情况说明</w:t>
      </w:r>
    </w:p>
    <w:p w14:paraId="6D853ED0">
      <w:pPr>
        <w:spacing w:line="580" w:lineRule="exact"/>
        <w:ind w:firstLine="640"/>
        <w:jc w:val="both"/>
      </w:pPr>
      <w:r>
        <w:rPr>
          <w:rFonts w:ascii="仿宋_GB2312" w:hAnsi="仿宋_GB2312" w:eastAsia="仿宋_GB2312"/>
          <w:b/>
          <w:sz w:val="32"/>
        </w:rPr>
        <w:t>2025年度财政拨款收入总计6,108.81万元，</w:t>
      </w:r>
      <w:r>
        <w:rPr>
          <w:rFonts w:ascii="仿宋_GB2312" w:hAnsi="仿宋_GB2312" w:eastAsia="仿宋_GB2312"/>
          <w:b w:val="0"/>
          <w:sz w:val="32"/>
        </w:rPr>
        <w:t>其中：年初财政拨款结转和结余558.46万元，本年财政拨款收入5,550.35万元。</w:t>
      </w:r>
      <w:r>
        <w:rPr>
          <w:rFonts w:ascii="仿宋_GB2312" w:hAnsi="仿宋_GB2312" w:eastAsia="仿宋_GB2312"/>
          <w:b/>
          <w:sz w:val="32"/>
        </w:rPr>
        <w:t>财政拨款支出总计6,108.81万元，</w:t>
      </w:r>
      <w:r>
        <w:rPr>
          <w:rFonts w:ascii="仿宋_GB2312" w:hAnsi="仿宋_GB2312" w:eastAsia="仿宋_GB2312"/>
          <w:b w:val="0"/>
          <w:sz w:val="32"/>
        </w:rPr>
        <w:t>其中：年末财政拨款结转和结余80.10万元，本年财政拨款支出6,028.72万元。</w:t>
      </w:r>
    </w:p>
    <w:p w14:paraId="7F837C2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增加586.37万元，增长10.62%，主要原因是：本年增加2024年职业教育质量提升项目年初结转资金、2025年职业教育质量提升1+X项目，导致经费较上年增加。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4,701.52万元，决算数6,108.81万元，预决算差异率29.93%，主要原因是：年中追加“第二批中央现代职业教育质量提升计划资金”、“新疆人才发展基金”、“人员经费追加”“第二批学生资助补助经费”，导致预决算存在差异。</w:t>
      </w:r>
    </w:p>
    <w:p w14:paraId="0598CD14">
      <w:pPr>
        <w:spacing w:line="640" w:lineRule="exact"/>
        <w:ind w:firstLine="640"/>
        <w:jc w:val="both"/>
        <w:outlineLvl w:val="2"/>
      </w:pPr>
      <w:r>
        <w:rPr>
          <w:rFonts w:ascii="黑体" w:hAnsi="黑体" w:eastAsia="黑体"/>
          <w:sz w:val="32"/>
        </w:rPr>
        <w:t>五、一般公共预算财政拨款支出决算情况说明</w:t>
      </w:r>
    </w:p>
    <w:p w14:paraId="2C705045">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按照党中央、国务院关于党政机关习惯过紧日子的有关要求，厉行节约办一切事业，严控一般性支出。同时坚持有保有压，优化支出结构，提高资金使用效率，合理保障教育事业</w:t>
      </w:r>
      <w:r>
        <w:rPr>
          <w:rFonts w:hint="eastAsia" w:ascii="仿宋_GB2312" w:hAnsi="仿宋_GB2312" w:eastAsia="仿宋_GB2312"/>
          <w:b w:val="0"/>
          <w:sz w:val="32"/>
          <w:lang w:val="en-US" w:eastAsia="zh-CN"/>
        </w:rPr>
        <w:t>发展</w:t>
      </w:r>
      <w:r>
        <w:rPr>
          <w:rFonts w:ascii="仿宋_GB2312" w:hAnsi="仿宋_GB2312" w:eastAsia="仿宋_GB2312"/>
          <w:b w:val="0"/>
          <w:sz w:val="32"/>
        </w:rPr>
        <w:t>等重点支出，体现在有关支出科目中。</w:t>
      </w:r>
    </w:p>
    <w:p w14:paraId="1FAC2566">
      <w:pPr>
        <w:spacing w:line="580" w:lineRule="exact"/>
        <w:ind w:firstLine="640"/>
        <w:jc w:val="both"/>
      </w:pPr>
      <w:r>
        <w:rPr>
          <w:rFonts w:ascii="仿宋_GB2312" w:hAnsi="仿宋_GB2312" w:eastAsia="仿宋_GB2312"/>
          <w:b w:val="0"/>
          <w:sz w:val="32"/>
        </w:rPr>
        <w:t>按照支出功能分类，教育支出（类）职业教育（款）中等职业教育（项）的支出占本年财政拨款支出总额的比重最高，2025年度决算数为6,028.72万元，占比100.00%，主要用于人员工资福利、日常公用经费。</w:t>
      </w:r>
    </w:p>
    <w:p w14:paraId="722C8ECF">
      <w:pPr>
        <w:spacing w:line="640" w:lineRule="exact"/>
        <w:ind w:firstLine="640"/>
        <w:jc w:val="both"/>
        <w:outlineLvl w:val="3"/>
      </w:pPr>
      <w:r>
        <w:rPr>
          <w:rFonts w:ascii="楷体_GB2312" w:hAnsi="楷体_GB2312" w:eastAsia="楷体_GB2312"/>
          <w:b/>
          <w:sz w:val="32"/>
        </w:rPr>
        <w:t>（一）一般公共预算财政拨款支出决算总体情况</w:t>
      </w:r>
    </w:p>
    <w:p w14:paraId="7434DF3F">
      <w:pPr>
        <w:spacing w:line="580" w:lineRule="exact"/>
        <w:ind w:firstLine="640"/>
        <w:jc w:val="both"/>
      </w:pPr>
      <w:r>
        <w:rPr>
          <w:rFonts w:ascii="仿宋_GB2312" w:hAnsi="仿宋_GB2312" w:eastAsia="仿宋_GB2312"/>
          <w:b/>
          <w:sz w:val="32"/>
        </w:rPr>
        <w:t>2025年度一般公共预算财政拨款支出6,028.72万元，</w:t>
      </w:r>
      <w:r>
        <w:rPr>
          <w:rFonts w:ascii="仿宋_GB2312" w:hAnsi="仿宋_GB2312" w:eastAsia="仿宋_GB2312"/>
          <w:b w:val="0"/>
          <w:sz w:val="32"/>
        </w:rPr>
        <w:t>占本年支出合计的97.86%。</w:t>
      </w:r>
      <w:r>
        <w:rPr>
          <w:rFonts w:ascii="仿宋_GB2312" w:hAnsi="仿宋_GB2312" w:eastAsia="仿宋_GB2312"/>
          <w:b/>
          <w:sz w:val="32"/>
        </w:rPr>
        <w:t>与上年相比，</w:t>
      </w:r>
      <w:r>
        <w:rPr>
          <w:rFonts w:ascii="仿宋_GB2312" w:hAnsi="仿宋_GB2312" w:eastAsia="仿宋_GB2312"/>
          <w:b w:val="0"/>
          <w:sz w:val="32"/>
        </w:rPr>
        <w:t>增加1,064.74万元，增长21.45%，主要原因是：本年增加2024年职业教育质量提升项目年初结转资金、2025年职业教育质量提升1+X项目，导致经费较上年增加。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4,701.52万元，决算数6,028.72万元，预决算差异率28.23%，主要原因是：年中追加“第二批中央现代职业教育质量提升计划资金”、“新疆人才发展基金”、“人员经费追加”“第二批学生资助补助经费”，导致预决算存在差异。</w:t>
      </w:r>
    </w:p>
    <w:p w14:paraId="5FA0F6DD">
      <w:pPr>
        <w:spacing w:line="640" w:lineRule="exact"/>
        <w:ind w:firstLine="640"/>
        <w:jc w:val="both"/>
        <w:outlineLvl w:val="3"/>
      </w:pPr>
      <w:r>
        <w:rPr>
          <w:rFonts w:ascii="楷体_GB2312" w:hAnsi="楷体_GB2312" w:eastAsia="楷体_GB2312"/>
          <w:b/>
          <w:sz w:val="32"/>
        </w:rPr>
        <w:t>（二）一般公共预算财政拨款支出决算结构情况</w:t>
      </w:r>
    </w:p>
    <w:p w14:paraId="48F549E2">
      <w:pPr>
        <w:spacing w:line="580" w:lineRule="exact"/>
        <w:ind w:firstLine="640"/>
        <w:jc w:val="both"/>
      </w:pPr>
      <w:r>
        <w:rPr>
          <w:rFonts w:ascii="仿宋_GB2312" w:hAnsi="仿宋_GB2312" w:eastAsia="仿宋_GB2312"/>
          <w:b w:val="0"/>
          <w:sz w:val="32"/>
        </w:rPr>
        <w:t>1.教育支出（类）6,028.72万元，占100.00%。</w:t>
      </w:r>
    </w:p>
    <w:p w14:paraId="54EB5EBC">
      <w:pPr>
        <w:spacing w:line="640" w:lineRule="exact"/>
        <w:ind w:firstLine="640"/>
        <w:jc w:val="both"/>
        <w:outlineLvl w:val="3"/>
      </w:pPr>
      <w:r>
        <w:rPr>
          <w:rFonts w:ascii="楷体_GB2312" w:hAnsi="楷体_GB2312" w:eastAsia="楷体_GB2312"/>
          <w:b/>
          <w:sz w:val="32"/>
        </w:rPr>
        <w:t>（三）一般公共预算财政拨款支出决算具体情况</w:t>
      </w:r>
    </w:p>
    <w:p w14:paraId="531FA00D">
      <w:pPr>
        <w:spacing w:line="580" w:lineRule="exact"/>
        <w:ind w:firstLine="640"/>
        <w:jc w:val="both"/>
      </w:pPr>
      <w:r>
        <w:rPr>
          <w:rFonts w:ascii="仿宋_GB2312" w:hAnsi="仿宋_GB2312" w:eastAsia="仿宋_GB2312"/>
          <w:b w:val="0"/>
          <w:sz w:val="32"/>
        </w:rPr>
        <w:t>1.教育支出（类）职业教育（款）中等职业教育（项）：支出决算数为6,028.72万元，比上年决算增加1,064.74万元，增长21.45%，主要原因是：本年增加2024年职业教育质量提升项目结余资金、2025年职业教育质量提升1+X项目，导致经费较上年增加。</w:t>
      </w:r>
    </w:p>
    <w:p w14:paraId="14385530">
      <w:pPr>
        <w:spacing w:line="640" w:lineRule="exact"/>
        <w:ind w:firstLine="640"/>
        <w:jc w:val="both"/>
        <w:outlineLvl w:val="2"/>
      </w:pPr>
      <w:r>
        <w:rPr>
          <w:rFonts w:ascii="黑体" w:hAnsi="黑体" w:eastAsia="黑体"/>
          <w:sz w:val="32"/>
        </w:rPr>
        <w:t>六、一般公共预算财政拨款基本支出决算情况说明</w:t>
      </w:r>
    </w:p>
    <w:p w14:paraId="6A16C98C">
      <w:pPr>
        <w:spacing w:line="580" w:lineRule="exact"/>
        <w:ind w:firstLine="640"/>
        <w:jc w:val="both"/>
      </w:pPr>
      <w:r>
        <w:rPr>
          <w:rFonts w:ascii="仿宋_GB2312" w:hAnsi="仿宋_GB2312" w:eastAsia="仿宋_GB2312"/>
          <w:b w:val="0"/>
          <w:sz w:val="32"/>
        </w:rPr>
        <w:t>2025年度一般公共预算财政拨款基本支出4,451.07万元，其中：</w:t>
      </w:r>
      <w:r>
        <w:rPr>
          <w:rFonts w:ascii="仿宋_GB2312" w:hAnsi="仿宋_GB2312" w:eastAsia="仿宋_GB2312"/>
          <w:b/>
          <w:sz w:val="32"/>
        </w:rPr>
        <w:t>人员经费3,696.97万元，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奖励金、其他对个人和家庭的补助。</w:t>
      </w:r>
    </w:p>
    <w:p w14:paraId="435DB8AB">
      <w:pPr>
        <w:spacing w:line="580" w:lineRule="exact"/>
        <w:ind w:firstLine="640"/>
        <w:jc w:val="both"/>
      </w:pPr>
      <w:r>
        <w:rPr>
          <w:rFonts w:ascii="仿宋_GB2312" w:hAnsi="仿宋_GB2312" w:eastAsia="仿宋_GB2312"/>
          <w:b/>
          <w:sz w:val="32"/>
        </w:rPr>
        <w:t>公用经费754.09万元，</w:t>
      </w:r>
      <w:r>
        <w:rPr>
          <w:rFonts w:ascii="仿宋_GB2312" w:hAnsi="仿宋_GB2312" w:eastAsia="仿宋_GB2312"/>
          <w:b w:val="0"/>
          <w:sz w:val="32"/>
        </w:rPr>
        <w:t>包括：办公费、印刷费、手续费、水费、电费、邮电费、取暖费、差旅费、维修（护）费、专用材料费、劳务费、委托业务费、工会经费、福利费、公务用车运行维护费、其他交通费用、税金及附加费用、其他商品和服务支出、专用设备购置。</w:t>
      </w:r>
    </w:p>
    <w:p w14:paraId="0A91988B">
      <w:pPr>
        <w:spacing w:line="640" w:lineRule="exact"/>
        <w:ind w:firstLine="640"/>
        <w:jc w:val="both"/>
        <w:outlineLvl w:val="2"/>
      </w:pPr>
      <w:r>
        <w:rPr>
          <w:rFonts w:ascii="黑体" w:hAnsi="黑体" w:eastAsia="黑体"/>
          <w:sz w:val="32"/>
        </w:rPr>
        <w:t>七、政府性基金预算财政拨款收入支出决算情况说明</w:t>
      </w:r>
    </w:p>
    <w:p w14:paraId="1DE92B6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A49A5B5">
      <w:pPr>
        <w:spacing w:line="640" w:lineRule="exact"/>
        <w:ind w:firstLine="640"/>
        <w:jc w:val="both"/>
        <w:outlineLvl w:val="2"/>
      </w:pPr>
      <w:r>
        <w:rPr>
          <w:rFonts w:ascii="黑体" w:hAnsi="黑体" w:eastAsia="黑体"/>
          <w:sz w:val="32"/>
        </w:rPr>
        <w:t>八、国有资本经营预算财政拨款收入支出决算情况说明</w:t>
      </w:r>
    </w:p>
    <w:p w14:paraId="692DFEB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969334F">
      <w:pPr>
        <w:spacing w:line="640" w:lineRule="exact"/>
        <w:ind w:firstLine="640"/>
        <w:jc w:val="both"/>
        <w:outlineLvl w:val="2"/>
      </w:pPr>
      <w:bookmarkStart w:id="0" w:name="_GoBack"/>
      <w:bookmarkEnd w:id="0"/>
      <w:r>
        <w:rPr>
          <w:rFonts w:ascii="黑体" w:hAnsi="黑体" w:eastAsia="黑体"/>
          <w:sz w:val="32"/>
        </w:rPr>
        <w:t>九、财政拨款“三公”经费支出决算情况说明</w:t>
      </w:r>
    </w:p>
    <w:p w14:paraId="54F3A93D">
      <w:pPr>
        <w:spacing w:line="580" w:lineRule="exact"/>
        <w:ind w:firstLine="640"/>
        <w:jc w:val="both"/>
      </w:pPr>
      <w:r>
        <w:rPr>
          <w:rFonts w:ascii="仿宋_GB2312" w:hAnsi="仿宋_GB2312" w:eastAsia="仿宋_GB2312"/>
          <w:b/>
          <w:sz w:val="32"/>
        </w:rPr>
        <w:t>2025年度财政拨款“三公”经费支出11.45万元，</w:t>
      </w:r>
      <w:r>
        <w:rPr>
          <w:rFonts w:ascii="仿宋_GB2312" w:hAnsi="仿宋_GB2312" w:eastAsia="仿宋_GB2312"/>
          <w:b w:val="0"/>
          <w:sz w:val="32"/>
        </w:rPr>
        <w:t>比上年减少0.92万元，下降7.44%，主要原因是：严格落实中央八项规定精神，厉行节约，减少公务用车运行维护费。其中：因公出国（境）费用支出0.00万元，占0.00%，比上年增加0.00万元，增长0.00%，主要原因是：2024年与2025年均无因公出国（境）费用支出。公务用车购置及运行维护费支出11.45万元，占100.00%，比上年减少0.92万元，下降7.44%，主要原因是：严格落实中央八项规定精神，厉行节约，减少公务用车运行维护费。公务接待费支出0.00万元，占0.00%，比上年增加0.00万元，增长0.00%，主要原因是：2024年与2025年均无公务接待费支出。</w:t>
      </w:r>
    </w:p>
    <w:p w14:paraId="10483AC8">
      <w:pPr>
        <w:spacing w:line="580" w:lineRule="exact"/>
        <w:ind w:firstLine="640"/>
        <w:jc w:val="both"/>
      </w:pPr>
      <w:r>
        <w:rPr>
          <w:rFonts w:ascii="仿宋_GB2312" w:hAnsi="仿宋_GB2312" w:eastAsia="仿宋_GB2312"/>
          <w:b/>
          <w:sz w:val="32"/>
        </w:rPr>
        <w:t>具体情况如下：</w:t>
      </w:r>
    </w:p>
    <w:p w14:paraId="7EBF7D00">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100A6A33">
      <w:pPr>
        <w:spacing w:line="580" w:lineRule="exact"/>
        <w:ind w:firstLine="640"/>
        <w:jc w:val="both"/>
      </w:pPr>
      <w:r>
        <w:rPr>
          <w:rFonts w:ascii="仿宋_GB2312" w:hAnsi="仿宋_GB2312" w:eastAsia="仿宋_GB2312"/>
          <w:b w:val="0"/>
          <w:sz w:val="32"/>
        </w:rPr>
        <w:t>公务用车购置及运行维护费11.45万元，其中：公务用车购置费0.00万元，公务用车运行维护费11.45万元。公务用车运行维护费开支内容包括车辆加油费、维修费、保险费、审车费、过路费等。公务用车购置数0辆，公务用车保有量4辆。国有资产占用情况中固定资产车辆2辆，与公务用车保有量差异原因是：借用其他单位车辆，车辆费用由本单位财政拨款公务用车运行维护费支付。</w:t>
      </w:r>
    </w:p>
    <w:p w14:paraId="5AA22E9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D1574A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11.45万元，决算数11.45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11.45万元，决算数11.45万元，预决算差异率0.00%，主要原因是：严格按照预算执行，预决算无差异。公务接待费全年预算数0.00万元，决算数0.00万元，预决算差异率0.00%，主要原因是：本单位无公务接待费。</w:t>
      </w:r>
    </w:p>
    <w:p w14:paraId="364A1083">
      <w:pPr>
        <w:spacing w:line="640" w:lineRule="exact"/>
        <w:ind w:firstLine="640"/>
        <w:jc w:val="both"/>
        <w:outlineLvl w:val="2"/>
      </w:pPr>
      <w:r>
        <w:rPr>
          <w:rFonts w:ascii="黑体" w:hAnsi="黑体" w:eastAsia="黑体"/>
          <w:sz w:val="32"/>
        </w:rPr>
        <w:t>十、其他重要事项的情况说明</w:t>
      </w:r>
    </w:p>
    <w:p w14:paraId="06291962">
      <w:pPr>
        <w:spacing w:line="640" w:lineRule="exact"/>
        <w:ind w:firstLine="640"/>
        <w:jc w:val="both"/>
        <w:outlineLvl w:val="3"/>
      </w:pPr>
      <w:r>
        <w:rPr>
          <w:rFonts w:ascii="楷体_GB2312" w:hAnsi="楷体_GB2312" w:eastAsia="楷体_GB2312"/>
          <w:b/>
          <w:sz w:val="32"/>
        </w:rPr>
        <w:t>（一）机关运行经费及公用经费支出情况</w:t>
      </w:r>
    </w:p>
    <w:p w14:paraId="77CB65F0">
      <w:pPr>
        <w:spacing w:line="580" w:lineRule="exact"/>
        <w:ind w:firstLine="640"/>
        <w:jc w:val="both"/>
      </w:pPr>
      <w:r>
        <w:rPr>
          <w:rFonts w:ascii="仿宋_GB2312" w:hAnsi="仿宋_GB2312" w:eastAsia="仿宋_GB2312"/>
          <w:b w:val="0"/>
          <w:sz w:val="32"/>
        </w:rPr>
        <w:t>2025年度新疆艺术学院附属中等艺术学校（事业单位）公用经费支出754.09万元，比上年增加303.42万元，增长67.33%，主要原因是：本年度学</w:t>
      </w:r>
      <w:r>
        <w:rPr>
          <w:rFonts w:hint="eastAsia" w:ascii="仿宋_GB2312" w:hAnsi="仿宋_GB2312" w:eastAsia="仿宋_GB2312"/>
          <w:b w:val="0"/>
          <w:sz w:val="32"/>
          <w:lang w:val="en-US" w:eastAsia="zh-CN"/>
        </w:rPr>
        <w:t>院</w:t>
      </w:r>
      <w:r>
        <w:rPr>
          <w:rFonts w:ascii="仿宋_GB2312" w:hAnsi="仿宋_GB2312" w:eastAsia="仿宋_GB2312"/>
          <w:b w:val="0"/>
          <w:sz w:val="32"/>
        </w:rPr>
        <w:t>运行取暖费需求增加，取暖费价格政策性上调，水电费用同比增加，导致公用经费较上年增加。</w:t>
      </w:r>
    </w:p>
    <w:p w14:paraId="708688CC">
      <w:pPr>
        <w:spacing w:line="640" w:lineRule="exact"/>
        <w:ind w:firstLine="640"/>
        <w:jc w:val="both"/>
        <w:outlineLvl w:val="3"/>
      </w:pPr>
      <w:r>
        <w:rPr>
          <w:rFonts w:ascii="楷体_GB2312" w:hAnsi="楷体_GB2312" w:eastAsia="楷体_GB2312"/>
          <w:b/>
          <w:sz w:val="32"/>
        </w:rPr>
        <w:t>（二）政府采购情况</w:t>
      </w:r>
    </w:p>
    <w:p w14:paraId="726114C8">
      <w:pPr>
        <w:spacing w:line="580" w:lineRule="exact"/>
        <w:ind w:firstLine="640"/>
        <w:jc w:val="both"/>
      </w:pPr>
      <w:r>
        <w:rPr>
          <w:rFonts w:ascii="仿宋_GB2312" w:hAnsi="仿宋_GB2312" w:eastAsia="仿宋_GB2312"/>
          <w:b w:val="0"/>
          <w:sz w:val="32"/>
        </w:rPr>
        <w:t>2025年度政府采购支出总额459.43万元，其中：政府采购货物支出1.44万元、政府采购工程支出402.41万元、政府采购服务支出55.59万元。</w:t>
      </w:r>
    </w:p>
    <w:p w14:paraId="58A7D854">
      <w:pPr>
        <w:spacing w:line="580" w:lineRule="exact"/>
        <w:ind w:firstLine="640"/>
        <w:jc w:val="both"/>
      </w:pPr>
      <w:r>
        <w:rPr>
          <w:rFonts w:ascii="仿宋_GB2312" w:hAnsi="仿宋_GB2312" w:eastAsia="仿宋_GB2312"/>
          <w:b w:val="0"/>
          <w:sz w:val="32"/>
        </w:rPr>
        <w:t>授予中小企业合同金额450.55万元，占政府采购支出总额的98.07%，其中：授予小微企业合同金额450.55万元，占政府采购支出总额的98.07%。</w:t>
      </w:r>
    </w:p>
    <w:p w14:paraId="7BC299DA">
      <w:pPr>
        <w:spacing w:line="640" w:lineRule="exact"/>
        <w:ind w:firstLine="640"/>
        <w:jc w:val="both"/>
        <w:outlineLvl w:val="3"/>
      </w:pPr>
      <w:r>
        <w:rPr>
          <w:rFonts w:ascii="楷体_GB2312" w:hAnsi="楷体_GB2312" w:eastAsia="楷体_GB2312"/>
          <w:b/>
          <w:sz w:val="32"/>
        </w:rPr>
        <w:t>（三）国有资产占用情况说明</w:t>
      </w:r>
    </w:p>
    <w:p w14:paraId="05F4E527">
      <w:pPr>
        <w:spacing w:line="580" w:lineRule="exact"/>
        <w:ind w:firstLine="640"/>
        <w:jc w:val="both"/>
      </w:pPr>
      <w:r>
        <w:rPr>
          <w:rFonts w:ascii="仿宋_GB2312" w:hAnsi="仿宋_GB2312" w:eastAsia="仿宋_GB2312"/>
          <w:b w:val="0"/>
          <w:sz w:val="32"/>
        </w:rPr>
        <w:t>截至2025年12月31日，房屋0.00平方米，价值0.00万元。车辆2辆，价值42.33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3B744F3D">
      <w:pPr>
        <w:spacing w:line="640" w:lineRule="exact"/>
        <w:ind w:firstLine="640"/>
        <w:jc w:val="both"/>
        <w:outlineLvl w:val="2"/>
      </w:pPr>
      <w:r>
        <w:rPr>
          <w:rFonts w:ascii="黑体" w:hAnsi="黑体" w:eastAsia="黑体"/>
          <w:sz w:val="32"/>
        </w:rPr>
        <w:t>十一、预算绩效的情况说明</w:t>
      </w:r>
    </w:p>
    <w:p w14:paraId="0F5F4649">
      <w:pPr>
        <w:spacing w:line="580" w:lineRule="exact"/>
        <w:ind w:firstLine="640"/>
        <w:jc w:val="both"/>
      </w:pPr>
      <w:r>
        <w:rPr>
          <w:rFonts w:ascii="仿宋_GB2312" w:hAnsi="仿宋_GB2312" w:eastAsia="仿宋_GB2312"/>
          <w:b w:val="0"/>
          <w:sz w:val="32"/>
        </w:rPr>
        <w:t>根据预算绩效管理要求，本单位预算绩效评价项目1个，全年预算数212.00万元，全年执行数211.60万元。预算绩效管理取得的成效：一是以绩效目标实现为导向，进一步加强制度建设，提升自评质量；二是绩效目标编制和报送工作得到及时开展，绩效跟踪监控得到加强，财政支出绩效评价深入开展，对专项资金实施绩效自评和项目核查，并在此基础上形成自评报告；三是绩效评价结果得到应用，组织绩效自评和绩效跟踪监控，对发现的问题及时改进，加强评价结果与项目资金安排的衔接。发现的问题及原因：一是预算绩效管理知识欠缺，意识淡薄。在一些学校中，普遍存在对预算绩效管理认知不系统的问题，这可能是因为宣传不到位，导致相关人员对预算绩效管理认知不全面，缺乏完善的预算管理理念。此外，由于培训不到位，相关人员缺乏绩效管理理念，导致对预算绩效管理的重视程度不够；二是组织管理机构不健全。在许多学校中，预算绩效管理工作仍然由财务部门代为完成，缺乏专门的预算绩效管理机构和专业人员。这可能会导致职责不明确，工作混乱，难以取得实质性进展；三是预算编制与具体工作相脱节。导致预算无法有效支持具体工作的开展。这可能是因为预算编制缺乏对校内各类经济业务的深入了解，缺乏其他部门的广泛参与和积极配合，导致预算编制与实际需求脱节。下一步改进措施：一是加强宣传培训，提高相关人员对预算绩效管理的认知和理解。通过组织培训、召开会议等方式，向相关人员普及预算绩效管理的理念和方法，提高其对预算绩效管理的重视程度；二是建立健全组织管理机构，明确职责分工。设立专门的预算绩效管理机构，明确各部门的职责分工，加强协调配合，确保工作的顺利进行；三是加强预算编制与具体工作的衔接，确保预算有效支持具体工作的开展。在预算编制过程中，加强与各部门的沟通协调，了解实际需求，确保预算编制与实际需求相匹配。具体附整体支出绩效自评表、项目支出绩效自评表及项目支出绩效评价报告。具体附项目支出绩效自评表。</w:t>
      </w:r>
    </w:p>
    <w:p w14:paraId="040F052D">
      <w:r>
        <w:br w:type="page"/>
      </w:r>
    </w:p>
    <w:p w14:paraId="611E5814">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44DAD7AF">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DEE8ABC">
            <w:pPr>
              <w:spacing w:before="0" w:after="0" w:line="240" w:lineRule="auto"/>
              <w:jc w:val="center"/>
            </w:pPr>
            <w:r>
              <w:rPr>
                <w:rFonts w:ascii="宋体" w:hAnsi="宋体" w:eastAsia="宋体"/>
                <w:b/>
                <w:i w:val="0"/>
                <w:sz w:val="32"/>
              </w:rPr>
              <w:t>项目支出绩效自评表</w:t>
            </w:r>
          </w:p>
        </w:tc>
      </w:tr>
      <w:tr w14:paraId="36E10289">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23D2970">
            <w:pPr>
              <w:spacing w:before="0" w:after="0" w:line="240" w:lineRule="auto"/>
              <w:jc w:val="center"/>
            </w:pPr>
            <w:r>
              <w:rPr>
                <w:rFonts w:ascii="宋体" w:hAnsi="宋体" w:eastAsia="宋体"/>
                <w:b w:val="0"/>
                <w:i w:val="0"/>
                <w:sz w:val="22"/>
              </w:rPr>
              <w:t>(2025年度)</w:t>
            </w:r>
          </w:p>
        </w:tc>
      </w:tr>
      <w:tr w14:paraId="70F0BD03">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900F9">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21FEB528">
            <w:pPr>
              <w:spacing w:before="0" w:after="0" w:line="240" w:lineRule="auto"/>
              <w:jc w:val="center"/>
            </w:pPr>
            <w:r>
              <w:rPr>
                <w:rFonts w:ascii="宋体" w:hAnsi="宋体" w:eastAsia="宋体"/>
                <w:b w:val="0"/>
                <w:i w:val="0"/>
                <w:sz w:val="18"/>
              </w:rPr>
              <w:t>2025年新疆艺术学院附属中等艺术学校非财政拨款项目</w:t>
            </w:r>
          </w:p>
        </w:tc>
      </w:tr>
      <w:tr w14:paraId="07E97033">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1FB45">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F8015F">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D187C">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4789AD">
            <w:pPr>
              <w:spacing w:before="0" w:after="0" w:line="240" w:lineRule="auto"/>
              <w:jc w:val="center"/>
            </w:pPr>
            <w:r>
              <w:rPr>
                <w:rFonts w:ascii="宋体" w:hAnsi="宋体" w:eastAsia="宋体"/>
                <w:b w:val="0"/>
                <w:i w:val="0"/>
                <w:sz w:val="18"/>
              </w:rPr>
              <w:t>新疆艺术学院附属中等艺术学校</w:t>
            </w:r>
          </w:p>
        </w:tc>
      </w:tr>
      <w:tr w14:paraId="70E60059">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E10D96">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D669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E9B042">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35BC0">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14C19">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824E5">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CBAE2">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E1AD94">
            <w:pPr>
              <w:spacing w:before="0" w:after="0" w:line="240" w:lineRule="auto"/>
              <w:jc w:val="center"/>
            </w:pPr>
            <w:r>
              <w:rPr>
                <w:rFonts w:ascii="宋体" w:hAnsi="宋体" w:eastAsia="宋体"/>
                <w:b/>
                <w:i w:val="0"/>
                <w:sz w:val="18"/>
              </w:rPr>
              <w:t>得分</w:t>
            </w:r>
          </w:p>
        </w:tc>
      </w:tr>
      <w:tr w14:paraId="3A8CF65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EE871C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72DF9">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31F5E6">
            <w:pPr>
              <w:spacing w:before="0" w:after="0" w:line="240" w:lineRule="auto"/>
              <w:jc w:val="center"/>
            </w:pPr>
            <w:r>
              <w:rPr>
                <w:rFonts w:ascii="宋体" w:hAnsi="宋体" w:eastAsia="宋体"/>
                <w:b w:val="0"/>
                <w:i w:val="0"/>
                <w:sz w:val="18"/>
              </w:rPr>
              <w:t>212.00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C284C">
            <w:pPr>
              <w:spacing w:before="0" w:after="0" w:line="240" w:lineRule="auto"/>
              <w:jc w:val="center"/>
            </w:pPr>
            <w:r>
              <w:rPr>
                <w:rFonts w:ascii="宋体" w:hAnsi="宋体" w:eastAsia="宋体"/>
                <w:b w:val="0"/>
                <w:i w:val="0"/>
                <w:sz w:val="18"/>
              </w:rPr>
              <w:t>212.00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FAD0B">
            <w:pPr>
              <w:spacing w:before="0" w:after="0" w:line="240" w:lineRule="auto"/>
              <w:jc w:val="center"/>
            </w:pPr>
            <w:r>
              <w:rPr>
                <w:rFonts w:ascii="宋体" w:hAnsi="宋体" w:eastAsia="宋体"/>
                <w:b w:val="0"/>
                <w:i w:val="0"/>
                <w:sz w:val="18"/>
              </w:rPr>
              <w:t>211.60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DBD77">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6DAB7">
            <w:pPr>
              <w:spacing w:before="0" w:after="0" w:line="240" w:lineRule="auto"/>
              <w:jc w:val="center"/>
            </w:pPr>
            <w:r>
              <w:rPr>
                <w:rFonts w:ascii="宋体" w:hAnsi="宋体" w:eastAsia="宋体"/>
                <w:b w:val="0"/>
                <w:i w:val="0"/>
                <w:sz w:val="18"/>
              </w:rPr>
              <w:t>99.81%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A6A903">
            <w:pPr>
              <w:spacing w:before="0" w:after="0" w:line="240" w:lineRule="auto"/>
              <w:jc w:val="center"/>
            </w:pPr>
            <w:r>
              <w:rPr>
                <w:rFonts w:ascii="宋体" w:hAnsi="宋体" w:eastAsia="宋体"/>
                <w:b w:val="0"/>
                <w:i w:val="0"/>
                <w:sz w:val="18"/>
              </w:rPr>
              <w:t>9.95</w:t>
            </w:r>
          </w:p>
        </w:tc>
      </w:tr>
      <w:tr w14:paraId="134347B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057613B"/>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37548">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F38E6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234BF">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E838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8AE76">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1B04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6B0702">
            <w:pPr>
              <w:spacing w:before="0" w:after="0" w:line="240" w:lineRule="auto"/>
              <w:jc w:val="center"/>
            </w:pPr>
            <w:r>
              <w:rPr>
                <w:rFonts w:ascii="宋体" w:hAnsi="宋体" w:eastAsia="宋体"/>
                <w:b w:val="0"/>
                <w:i w:val="0"/>
                <w:sz w:val="18"/>
              </w:rPr>
              <w:t>—</w:t>
            </w:r>
          </w:p>
        </w:tc>
      </w:tr>
      <w:tr w14:paraId="40F890A8">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DF66725"/>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E3FF4">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20724E">
            <w:pPr>
              <w:spacing w:before="0" w:after="0" w:line="240" w:lineRule="auto"/>
              <w:jc w:val="center"/>
            </w:pPr>
            <w:r>
              <w:rPr>
                <w:rFonts w:ascii="宋体" w:hAnsi="宋体" w:eastAsia="宋体"/>
                <w:b w:val="0"/>
                <w:i w:val="0"/>
                <w:sz w:val="18"/>
              </w:rPr>
              <w:t>212.00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9B9DA">
            <w:pPr>
              <w:spacing w:before="0" w:after="0" w:line="240" w:lineRule="auto"/>
              <w:jc w:val="center"/>
            </w:pPr>
            <w:r>
              <w:rPr>
                <w:rFonts w:ascii="宋体" w:hAnsi="宋体" w:eastAsia="宋体"/>
                <w:b w:val="0"/>
                <w:i w:val="0"/>
                <w:sz w:val="18"/>
              </w:rPr>
              <w:t>212.00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13096">
            <w:pPr>
              <w:spacing w:before="0" w:after="0" w:line="240" w:lineRule="auto"/>
              <w:jc w:val="center"/>
            </w:pPr>
            <w:r>
              <w:rPr>
                <w:rFonts w:ascii="宋体" w:hAnsi="宋体" w:eastAsia="宋体"/>
                <w:b w:val="0"/>
                <w:i w:val="0"/>
                <w:sz w:val="18"/>
              </w:rPr>
              <w:t>211.60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8E099">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C10E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21448B">
            <w:pPr>
              <w:spacing w:before="0" w:after="0" w:line="240" w:lineRule="auto"/>
              <w:jc w:val="center"/>
            </w:pPr>
            <w:r>
              <w:rPr>
                <w:rFonts w:ascii="宋体" w:hAnsi="宋体" w:eastAsia="宋体"/>
                <w:b w:val="0"/>
                <w:i w:val="0"/>
                <w:sz w:val="18"/>
              </w:rPr>
              <w:t>—</w:t>
            </w:r>
          </w:p>
        </w:tc>
      </w:tr>
      <w:tr w14:paraId="2874A5F3">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E11823">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8E43FF">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658815">
            <w:pPr>
              <w:spacing w:before="0" w:after="0" w:line="240" w:lineRule="auto"/>
              <w:jc w:val="center"/>
            </w:pPr>
            <w:r>
              <w:rPr>
                <w:rFonts w:ascii="宋体" w:hAnsi="宋体" w:eastAsia="宋体"/>
                <w:b/>
                <w:i w:val="0"/>
                <w:sz w:val="18"/>
              </w:rPr>
              <w:t>实际完成情况</w:t>
            </w:r>
          </w:p>
        </w:tc>
      </w:tr>
      <w:tr w14:paraId="498FB382">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07E444"/>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A42F45">
            <w:pPr>
              <w:spacing w:before="0" w:after="0" w:line="240" w:lineRule="auto"/>
              <w:jc w:val="center"/>
            </w:pPr>
            <w:r>
              <w:rPr>
                <w:rFonts w:ascii="宋体" w:hAnsi="宋体" w:eastAsia="宋体"/>
                <w:b w:val="0"/>
                <w:i w:val="0"/>
                <w:sz w:val="18"/>
              </w:rPr>
              <w:t>根据学校发展需求，改善学校办公条件，增强学校综合办学实力，提升学校服务基础教育发展的能力。根据全口径预算，预算的完整性，用于学校基本户、食堂户收支。主要用于食堂伙食支出米面油50万元、果蔬类20万元、牛羊肉50万元、调味品20、其他副食品20万元；后勤维修绿化、卫生保洁、校园军事化、临时工劳务费用50万元。依照国家有关规定，安排事业收入的2%用于困难学生补助。共计发放学生补助金额2万元</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B37E02">
            <w:pPr>
              <w:spacing w:before="0" w:after="0" w:line="240" w:lineRule="auto"/>
              <w:jc w:val="center"/>
            </w:pPr>
            <w:r>
              <w:rPr>
                <w:rFonts w:ascii="宋体" w:hAnsi="宋体" w:eastAsia="宋体"/>
                <w:b w:val="0"/>
                <w:i w:val="0"/>
                <w:sz w:val="18"/>
              </w:rPr>
              <w:t>根据全口径预算，预算的完整性，用于学校基本户、食堂户收支。主要用于食堂伙食支出米面油50万元、果蔬类20万元、牛羊肉50万元、调味品20、其他副食品20万元；后勤维修绿化、卫生保洁、校园军事化、临时工劳务费用50万元。依照国家有关规定，安排事业收入的2%用于困难学生补助。根据学生人数和实际安排共计发放学生补助金额1.6万元</w:t>
            </w:r>
          </w:p>
        </w:tc>
      </w:tr>
      <w:tr w14:paraId="16CF0565">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F3100D">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A753F1">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50FB84">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9EFDA5">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6EB241">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86A372">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1AB1A2">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38C7D9">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22B163">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20C8FC">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7B2483">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8E9E28">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7DA00B">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B8A748">
            <w:pPr>
              <w:keepNext/>
              <w:spacing w:before="0" w:after="0" w:line="240" w:lineRule="auto"/>
              <w:jc w:val="center"/>
            </w:pPr>
            <w:r>
              <w:rPr>
                <w:rFonts w:ascii="宋体" w:hAnsi="宋体" w:eastAsia="宋体"/>
                <w:b/>
                <w:i w:val="0"/>
                <w:sz w:val="18"/>
              </w:rPr>
              <w:t>偏差原因分析及改进措施</w:t>
            </w:r>
          </w:p>
        </w:tc>
      </w:tr>
      <w:tr w14:paraId="53D59549">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11C14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1F7FE3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4DCC8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12832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ACD1C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1A282A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7F415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7E711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5E98D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F4DEF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F76DC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5F2F2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2EDC3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86E8A90"/>
        </w:tc>
      </w:tr>
      <w:tr w14:paraId="7DCC1769">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789AD4">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0BA623">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970045">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0326E4">
            <w:pPr>
              <w:keepNext/>
              <w:spacing w:before="0" w:after="0" w:line="240" w:lineRule="auto"/>
              <w:jc w:val="center"/>
            </w:pPr>
            <w:r>
              <w:rPr>
                <w:rFonts w:ascii="宋体" w:hAnsi="宋体" w:eastAsia="宋体"/>
                <w:b w:val="0"/>
                <w:i w:val="0"/>
                <w:sz w:val="18"/>
              </w:rPr>
              <w:t>保障食堂数量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253D3D">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089B05">
            <w:pPr>
              <w:keepNext/>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1C2880">
            <w:pPr>
              <w:keepNext/>
              <w:spacing w:before="0" w:after="0" w:line="240" w:lineRule="auto"/>
              <w:jc w:val="center"/>
            </w:pPr>
            <w:r>
              <w:rPr>
                <w:rFonts w:ascii="宋体" w:hAnsi="宋体" w:eastAsia="宋体"/>
                <w:b w:val="0"/>
                <w:i w:val="0"/>
                <w:sz w:val="18"/>
              </w:rPr>
              <w:t>=2个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58CC95">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DDB52C">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759C0C">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358582">
            <w:pPr>
              <w:keepNext/>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A5E206">
            <w:pPr>
              <w:keepNext/>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D2D09D">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284651">
            <w:pPr>
              <w:keepNext/>
              <w:spacing w:before="0" w:after="0" w:line="240" w:lineRule="auto"/>
              <w:jc w:val="center"/>
            </w:pPr>
          </w:p>
        </w:tc>
      </w:tr>
      <w:tr w14:paraId="0BB0F9E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8DE7AB">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E06FC1">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AC849E">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B0E6B8">
            <w:pPr>
              <w:keepNext/>
              <w:spacing w:before="0" w:after="0" w:line="240" w:lineRule="auto"/>
              <w:jc w:val="center"/>
            </w:pPr>
            <w:r>
              <w:rPr>
                <w:rFonts w:ascii="宋体" w:hAnsi="宋体" w:eastAsia="宋体"/>
                <w:b w:val="0"/>
                <w:i w:val="0"/>
                <w:sz w:val="18"/>
              </w:rPr>
              <w:t>食堂设备维修保养次数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137C08">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49C0C2">
            <w:pPr>
              <w:keepNext/>
              <w:spacing w:before="0" w:after="0" w:line="240" w:lineRule="auto"/>
              <w:jc w:val="center"/>
            </w:pPr>
            <w:r>
              <w:rPr>
                <w:rFonts w:ascii="宋体" w:hAnsi="宋体" w:eastAsia="宋体"/>
                <w:b w:val="0"/>
                <w:i w:val="0"/>
                <w:sz w:val="18"/>
              </w:rPr>
              <w:t>&gt;3次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F0BF88">
            <w:pPr>
              <w:keepNext/>
              <w:spacing w:before="0" w:after="0" w:line="240" w:lineRule="auto"/>
              <w:jc w:val="center"/>
            </w:pPr>
            <w:r>
              <w:rPr>
                <w:rFonts w:ascii="宋体" w:hAnsi="宋体" w:eastAsia="宋体"/>
                <w:b w:val="0"/>
                <w:i w:val="0"/>
                <w:sz w:val="18"/>
              </w:rPr>
              <w:t>=7次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EFF156">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528770">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F85A63">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CF0AFE">
            <w:pPr>
              <w:keepNext/>
              <w:spacing w:before="0" w:after="0" w:line="240" w:lineRule="auto"/>
              <w:jc w:val="center"/>
            </w:pPr>
            <w:r>
              <w:rPr>
                <w:rFonts w:ascii="宋体" w:hAnsi="宋体" w:eastAsia="宋体"/>
                <w:b w:val="0"/>
                <w:i w:val="0"/>
                <w:sz w:val="18"/>
              </w:rPr>
              <w:t>5次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B9F320">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F13C2F">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0A8F20">
            <w:pPr>
              <w:keepNext/>
              <w:spacing w:before="0" w:after="0" w:line="240" w:lineRule="auto"/>
              <w:jc w:val="center"/>
            </w:pPr>
          </w:p>
        </w:tc>
      </w:tr>
      <w:tr w14:paraId="5C3D63F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0E833FD">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AF0C7C">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7FFD35">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A6D100">
            <w:pPr>
              <w:keepNext/>
              <w:spacing w:before="0" w:after="0" w:line="240" w:lineRule="auto"/>
              <w:jc w:val="center"/>
            </w:pPr>
            <w:r>
              <w:rPr>
                <w:rFonts w:ascii="宋体" w:hAnsi="宋体" w:eastAsia="宋体"/>
                <w:b w:val="0"/>
                <w:i w:val="0"/>
                <w:sz w:val="18"/>
              </w:rPr>
              <w:t>外聘人员数量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6AA976">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FDA1A1">
            <w:pPr>
              <w:keepNext/>
              <w:spacing w:before="0" w:after="0" w:line="240" w:lineRule="auto"/>
              <w:jc w:val="center"/>
            </w:pPr>
            <w:r>
              <w:rPr>
                <w:rFonts w:ascii="宋体" w:hAnsi="宋体" w:eastAsia="宋体"/>
                <w:b w:val="0"/>
                <w:i w:val="0"/>
                <w:sz w:val="18"/>
              </w:rPr>
              <w:t>&gt;=31人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80EC85">
            <w:pPr>
              <w:keepNext/>
              <w:spacing w:before="0" w:after="0" w:line="240" w:lineRule="auto"/>
              <w:jc w:val="center"/>
            </w:pPr>
            <w:r>
              <w:rPr>
                <w:rFonts w:ascii="宋体" w:hAnsi="宋体" w:eastAsia="宋体"/>
                <w:b w:val="0"/>
                <w:i w:val="0"/>
                <w:sz w:val="18"/>
              </w:rPr>
              <w:t>=31人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EA2381">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B3D458">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736189">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D7989A">
            <w:pPr>
              <w:keepNext/>
              <w:spacing w:before="0" w:after="0" w:line="240" w:lineRule="auto"/>
              <w:jc w:val="center"/>
            </w:pPr>
            <w:r>
              <w:rPr>
                <w:rFonts w:ascii="宋体" w:hAnsi="宋体" w:eastAsia="宋体"/>
                <w:b w:val="0"/>
                <w:i w:val="0"/>
                <w:sz w:val="18"/>
              </w:rPr>
              <w:t>32人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F5FEB2">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3A477D">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1352ED">
            <w:pPr>
              <w:keepNext/>
              <w:spacing w:before="0" w:after="0" w:line="240" w:lineRule="auto"/>
              <w:jc w:val="center"/>
            </w:pPr>
          </w:p>
        </w:tc>
      </w:tr>
      <w:tr w14:paraId="26B4E19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D755FA">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632948A">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2C756A">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09E390">
            <w:pPr>
              <w:keepNext/>
              <w:spacing w:before="0" w:after="0" w:line="240" w:lineRule="auto"/>
              <w:jc w:val="center"/>
            </w:pPr>
            <w:r>
              <w:rPr>
                <w:rFonts w:ascii="宋体" w:hAnsi="宋体" w:eastAsia="宋体"/>
                <w:b w:val="0"/>
                <w:i w:val="0"/>
                <w:sz w:val="18"/>
              </w:rPr>
              <w:t>助学补助发放人数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C8B5DC">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8C9BD2">
            <w:pPr>
              <w:keepNext/>
              <w:spacing w:before="0" w:after="0" w:line="240" w:lineRule="auto"/>
              <w:jc w:val="center"/>
            </w:pPr>
            <w:r>
              <w:rPr>
                <w:rFonts w:ascii="宋体" w:hAnsi="宋体" w:eastAsia="宋体"/>
                <w:b w:val="0"/>
                <w:i w:val="0"/>
                <w:sz w:val="18"/>
              </w:rPr>
              <w:t>&gt;=160人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DDBD95">
            <w:pPr>
              <w:keepNext/>
              <w:spacing w:before="0" w:after="0" w:line="240" w:lineRule="auto"/>
              <w:jc w:val="center"/>
            </w:pPr>
            <w:r>
              <w:rPr>
                <w:rFonts w:ascii="宋体" w:hAnsi="宋体" w:eastAsia="宋体"/>
                <w:b w:val="0"/>
                <w:i w:val="0"/>
                <w:sz w:val="18"/>
              </w:rPr>
              <w:t>=80人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F09D8F">
            <w:pPr>
              <w:keepNext/>
              <w:spacing w:before="0" w:after="0" w:line="240" w:lineRule="auto"/>
              <w:jc w:val="center"/>
            </w:pPr>
            <w:r>
              <w:rPr>
                <w:rFonts w:ascii="宋体" w:hAnsi="宋体" w:eastAsia="宋体"/>
                <w:b w:val="0"/>
                <w:i w:val="0"/>
                <w:sz w:val="18"/>
              </w:rPr>
              <w:t>50%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5D669C">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8849FF">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2443EA">
            <w:pPr>
              <w:keepNext/>
              <w:spacing w:before="0" w:after="0" w:line="240" w:lineRule="auto"/>
              <w:jc w:val="center"/>
            </w:pPr>
            <w:r>
              <w:rPr>
                <w:rFonts w:ascii="宋体" w:hAnsi="宋体" w:eastAsia="宋体"/>
                <w:b w:val="0"/>
                <w:i w:val="0"/>
                <w:sz w:val="18"/>
              </w:rPr>
              <w:t>150人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928F33">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1B3AA3">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D46118">
            <w:pPr>
              <w:keepNext/>
              <w:spacing w:before="0" w:after="0" w:line="240" w:lineRule="auto"/>
              <w:jc w:val="center"/>
            </w:pPr>
            <w:r>
              <w:rPr>
                <w:rFonts w:ascii="宋体" w:hAnsi="宋体" w:eastAsia="宋体"/>
                <w:b w:val="0"/>
                <w:i w:val="0"/>
                <w:sz w:val="18"/>
              </w:rPr>
              <w:t>学校当年度校内助学金发放安排存在实际变动</w:t>
            </w:r>
          </w:p>
        </w:tc>
      </w:tr>
      <w:tr w14:paraId="27A1BBD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2D3209">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42C9676">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2723CE">
            <w:pPr>
              <w:keepNext/>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281AEE">
            <w:pPr>
              <w:keepNext/>
              <w:spacing w:before="0" w:after="0" w:line="240" w:lineRule="auto"/>
              <w:jc w:val="center"/>
            </w:pPr>
            <w:r>
              <w:rPr>
                <w:rFonts w:ascii="宋体" w:hAnsi="宋体" w:eastAsia="宋体"/>
                <w:b w:val="0"/>
                <w:i w:val="0"/>
                <w:sz w:val="18"/>
              </w:rPr>
              <w:t>设备维修验收合格率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70D309">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479213">
            <w:pPr>
              <w:keepNext/>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80455E">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849513">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D06E1B">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AE250C">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8BCB56">
            <w:pPr>
              <w:keepNext/>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255AF9">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702EAE">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4CAE6D">
            <w:pPr>
              <w:keepNext/>
              <w:spacing w:before="0" w:after="0" w:line="240" w:lineRule="auto"/>
              <w:jc w:val="center"/>
            </w:pPr>
          </w:p>
        </w:tc>
      </w:tr>
      <w:tr w14:paraId="2ED6BCD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C7398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FEFF37"/>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652A18">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4C09E2">
            <w:pPr>
              <w:spacing w:before="0" w:after="0" w:line="240" w:lineRule="auto"/>
              <w:jc w:val="center"/>
            </w:pPr>
            <w:r>
              <w:rPr>
                <w:rFonts w:ascii="宋体" w:hAnsi="宋体" w:eastAsia="宋体"/>
                <w:b w:val="0"/>
                <w:i w:val="0"/>
                <w:sz w:val="18"/>
              </w:rPr>
              <w:t>外聘人员工资发放时间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D662A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026D95">
            <w:pPr>
              <w:spacing w:before="0" w:after="0" w:line="240" w:lineRule="auto"/>
              <w:jc w:val="center"/>
            </w:pPr>
            <w:r>
              <w:rPr>
                <w:rFonts w:ascii="宋体" w:hAnsi="宋体" w:eastAsia="宋体"/>
                <w:b w:val="0"/>
                <w:i w:val="0"/>
                <w:sz w:val="18"/>
              </w:rPr>
              <w:t>每月25日之前</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95CE20">
            <w:pPr>
              <w:spacing w:before="0" w:after="0" w:line="240" w:lineRule="auto"/>
              <w:jc w:val="center"/>
            </w:pPr>
            <w:r>
              <w:rPr>
                <w:rFonts w:ascii="宋体" w:hAnsi="宋体" w:eastAsia="宋体"/>
                <w:b w:val="0"/>
                <w:i w:val="0"/>
                <w:sz w:val="18"/>
              </w:rPr>
              <w:t>=27%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5B7937">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E9796F">
            <w:pPr>
              <w:spacing w:before="0" w:after="0" w:line="240" w:lineRule="auto"/>
              <w:jc w:val="center"/>
            </w:pPr>
            <w:r>
              <w:rPr>
                <w:rFonts w:ascii="宋体" w:hAnsi="宋体" w:eastAsia="宋体"/>
                <w:b w:val="0"/>
                <w:i w:val="0"/>
                <w:sz w:val="18"/>
              </w:rPr>
              <w:t>6.25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EDD49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20B69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38FEB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5E9573">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17424B">
            <w:pPr>
              <w:spacing w:before="0" w:after="0" w:line="240" w:lineRule="auto"/>
              <w:jc w:val="center"/>
            </w:pPr>
            <w:r>
              <w:rPr>
                <w:rFonts w:ascii="宋体" w:hAnsi="宋体" w:eastAsia="宋体"/>
                <w:b w:val="0"/>
                <w:i w:val="0"/>
                <w:sz w:val="18"/>
              </w:rPr>
              <w:t>受到节假日工作安排等影响较大</w:t>
            </w:r>
          </w:p>
        </w:tc>
      </w:tr>
      <w:tr w14:paraId="6F766D3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6842DF">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D204B3">
            <w:pPr>
              <w:keepNext/>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03DE1F">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BCD077">
            <w:pPr>
              <w:keepNext/>
              <w:spacing w:before="0" w:after="0" w:line="240" w:lineRule="auto"/>
              <w:jc w:val="center"/>
            </w:pPr>
            <w:r>
              <w:rPr>
                <w:rFonts w:ascii="宋体" w:hAnsi="宋体" w:eastAsia="宋体"/>
                <w:b w:val="0"/>
                <w:i w:val="0"/>
                <w:sz w:val="18"/>
              </w:rPr>
              <w:t>外聘人员工资标准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ACC8C6">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5203DB">
            <w:pPr>
              <w:keepNext/>
              <w:spacing w:before="0" w:after="0" w:line="240" w:lineRule="auto"/>
              <w:jc w:val="center"/>
            </w:pPr>
            <w:r>
              <w:rPr>
                <w:rFonts w:ascii="宋体" w:hAnsi="宋体" w:eastAsia="宋体"/>
                <w:b w:val="0"/>
                <w:i w:val="0"/>
                <w:sz w:val="18"/>
              </w:rPr>
              <w:t>=3500-5500元/月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629043">
            <w:pPr>
              <w:keepNext/>
              <w:spacing w:before="0" w:after="0" w:line="240" w:lineRule="auto"/>
              <w:jc w:val="center"/>
            </w:pPr>
            <w:r>
              <w:rPr>
                <w:rFonts w:ascii="宋体" w:hAnsi="宋体" w:eastAsia="宋体"/>
                <w:b w:val="0"/>
                <w:i w:val="0"/>
                <w:sz w:val="18"/>
              </w:rPr>
              <w:t>=100-5500元/月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5F7CD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624837">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E4F69F">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A0A70A">
            <w:pPr>
              <w:keepNext/>
              <w:spacing w:before="0" w:after="0" w:line="240" w:lineRule="auto"/>
              <w:jc w:val="center"/>
            </w:pPr>
            <w:r>
              <w:rPr>
                <w:rFonts w:ascii="宋体" w:hAnsi="宋体" w:eastAsia="宋体"/>
                <w:b w:val="0"/>
                <w:i w:val="0"/>
                <w:sz w:val="18"/>
              </w:rPr>
              <w:t>-3500-5500元/月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7AAB04">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50A163">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092940">
            <w:pPr>
              <w:keepNext/>
              <w:spacing w:before="0" w:after="0" w:line="240" w:lineRule="auto"/>
              <w:jc w:val="center"/>
            </w:pPr>
          </w:p>
        </w:tc>
      </w:tr>
      <w:tr w14:paraId="2115713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A1467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FD3A4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4082A0">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0FB4F5">
            <w:pPr>
              <w:spacing w:before="0" w:after="0" w:line="240" w:lineRule="auto"/>
              <w:jc w:val="center"/>
            </w:pPr>
            <w:r>
              <w:rPr>
                <w:rFonts w:ascii="宋体" w:hAnsi="宋体" w:eastAsia="宋体"/>
                <w:b w:val="0"/>
                <w:i w:val="0"/>
                <w:sz w:val="18"/>
              </w:rPr>
              <w:t>助学补助发放</w:t>
            </w:r>
            <w:r>
              <w:rPr>
                <w:rFonts w:hint="eastAsia" w:ascii="宋体" w:hAnsi="宋体"/>
                <w:b w:val="0"/>
                <w:i w:val="0"/>
                <w:sz w:val="18"/>
                <w:lang w:eastAsia="zh-CN"/>
              </w:rPr>
              <w:t>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BE5AF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37081C">
            <w:pPr>
              <w:spacing w:before="0" w:after="0" w:line="240" w:lineRule="auto"/>
              <w:jc w:val="center"/>
            </w:pPr>
            <w:r>
              <w:rPr>
                <w:rFonts w:ascii="宋体" w:hAnsi="宋体" w:eastAsia="宋体"/>
                <w:b w:val="0"/>
                <w:i w:val="0"/>
                <w:sz w:val="18"/>
              </w:rPr>
              <w:t>=100-200元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A0381A">
            <w:pPr>
              <w:spacing w:before="0" w:after="0" w:line="240" w:lineRule="auto"/>
              <w:jc w:val="center"/>
            </w:pPr>
            <w:r>
              <w:rPr>
                <w:rFonts w:ascii="宋体" w:hAnsi="宋体" w:eastAsia="宋体"/>
                <w:b w:val="0"/>
                <w:i w:val="0"/>
                <w:sz w:val="18"/>
              </w:rPr>
              <w:t>=100-200元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6D44F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B7147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91FA2E">
            <w:pPr>
              <w:spacing w:before="0" w:after="0" w:line="240" w:lineRule="auto"/>
              <w:jc w:val="center"/>
            </w:pPr>
            <w:r>
              <w:rPr>
                <w:rFonts w:ascii="宋体" w:hAnsi="宋体" w:eastAsia="宋体"/>
                <w:b w:val="0"/>
                <w:i w:val="0"/>
                <w:sz w:val="18"/>
              </w:rPr>
              <w:t>预算支出标准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B9D778">
            <w:pPr>
              <w:spacing w:before="0" w:after="0" w:line="240" w:lineRule="auto"/>
              <w:jc w:val="center"/>
            </w:pPr>
            <w:r>
              <w:rPr>
                <w:rFonts w:ascii="宋体" w:hAnsi="宋体" w:eastAsia="宋体"/>
                <w:b w:val="0"/>
                <w:i w:val="0"/>
                <w:sz w:val="18"/>
              </w:rPr>
              <w:t>=100-200元/年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61772D">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F56785">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DB99FC">
            <w:pPr>
              <w:spacing w:before="0" w:after="0" w:line="240" w:lineRule="auto"/>
              <w:jc w:val="center"/>
            </w:pPr>
          </w:p>
        </w:tc>
      </w:tr>
      <w:tr w14:paraId="7F7BA3F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D9F95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E3C8A5">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64F2F6">
            <w:pPr>
              <w:spacing w:before="0" w:after="0" w:line="240" w:lineRule="auto"/>
              <w:jc w:val="center"/>
            </w:pPr>
            <w:r>
              <w:rPr>
                <w:rFonts w:ascii="宋体" w:hAnsi="宋体" w:eastAsia="宋体"/>
                <w:b w:val="0"/>
                <w:i w:val="0"/>
                <w:sz w:val="18"/>
              </w:rPr>
              <w:t>经济效益指标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E43E0F">
            <w:pPr>
              <w:spacing w:before="0" w:after="0" w:line="240" w:lineRule="auto"/>
              <w:jc w:val="center"/>
            </w:pPr>
            <w:r>
              <w:rPr>
                <w:rFonts w:ascii="宋体" w:hAnsi="宋体" w:eastAsia="宋体"/>
                <w:b w:val="0"/>
                <w:i w:val="0"/>
                <w:sz w:val="18"/>
              </w:rPr>
              <w:t>减轻家庭经济困难学生的经济负担</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E2398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E33FFC">
            <w:pPr>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3AE09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D2535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7F1C8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C6E7D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91D4F2">
            <w:pPr>
              <w:spacing w:before="0" w:after="0" w:line="240" w:lineRule="auto"/>
              <w:jc w:val="center"/>
            </w:pPr>
            <w:r>
              <w:rPr>
                <w:rFonts w:ascii="宋体" w:hAnsi="宋体" w:eastAsia="宋体"/>
                <w:b w:val="0"/>
                <w:i w:val="0"/>
                <w:sz w:val="18"/>
              </w:rPr>
              <w:t>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AAFF5D">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3E7A76">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5BCCFB">
            <w:pPr>
              <w:spacing w:before="0" w:after="0" w:line="240" w:lineRule="auto"/>
              <w:jc w:val="center"/>
            </w:pPr>
          </w:p>
        </w:tc>
      </w:tr>
      <w:tr w14:paraId="5656430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4691F1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4DD470">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242D24">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3FAC75">
            <w:pPr>
              <w:spacing w:before="0" w:after="0" w:line="240" w:lineRule="auto"/>
              <w:jc w:val="center"/>
            </w:pPr>
            <w:r>
              <w:rPr>
                <w:rFonts w:ascii="宋体" w:hAnsi="宋体" w:eastAsia="宋体"/>
                <w:b w:val="0"/>
                <w:i w:val="0"/>
                <w:sz w:val="18"/>
              </w:rPr>
              <w:t>师生满意度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A2270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9259CD">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589D21">
            <w:pPr>
              <w:spacing w:before="0" w:after="0" w:line="240" w:lineRule="auto"/>
              <w:jc w:val="center"/>
            </w:pPr>
            <w:r>
              <w:rPr>
                <w:rFonts w:ascii="宋体" w:hAnsi="宋体" w:eastAsia="宋体"/>
                <w:b w:val="0"/>
                <w:i w:val="0"/>
                <w:sz w:val="18"/>
              </w:rPr>
              <w:t>=100%98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60714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92678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FC21B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C9A135">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FB2F9E">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3E3F50">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597568">
            <w:pPr>
              <w:spacing w:before="0" w:after="0" w:line="240" w:lineRule="auto"/>
              <w:jc w:val="center"/>
            </w:pPr>
          </w:p>
        </w:tc>
      </w:tr>
      <w:tr w14:paraId="0C666A20">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932A8AC">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B39D2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41C5D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E3666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F434C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D6D37D">
            <w:pPr>
              <w:spacing w:before="0" w:after="0" w:line="240" w:lineRule="auto"/>
              <w:jc w:val="center"/>
            </w:pPr>
            <w:r>
              <w:rPr>
                <w:rFonts w:ascii="宋体" w:hAnsi="宋体" w:eastAsia="宋体"/>
                <w:b w:val="0"/>
                <w:i w:val="0"/>
                <w:sz w:val="18"/>
              </w:rPr>
              <w:t>86.20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EB8AB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24BC4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A7ED3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1C29C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087F7B">
            <w:pPr>
              <w:spacing w:before="0" w:after="0" w:line="240" w:lineRule="auto"/>
              <w:jc w:val="center"/>
            </w:pPr>
          </w:p>
        </w:tc>
      </w:tr>
    </w:tbl>
    <w:p w14:paraId="04A449A4">
      <w:r>
        <w:br w:type="page"/>
      </w:r>
    </w:p>
    <w:p w14:paraId="51FDF211">
      <w:pPr>
        <w:sectPr>
          <w:type w:val="continuous"/>
          <w:pgSz w:w="11906" w:h="16838"/>
          <w:pgMar w:top="1440" w:right="1800" w:bottom="1440" w:left="1800" w:header="851" w:footer="992" w:gutter="0"/>
          <w:cols w:space="720" w:num="1"/>
          <w:docGrid w:type="lines" w:linePitch="312" w:charSpace="0"/>
        </w:sectPr>
      </w:pPr>
    </w:p>
    <w:p w14:paraId="46C149D5">
      <w:pPr>
        <w:spacing w:line="640" w:lineRule="exact"/>
        <w:ind w:firstLine="640"/>
        <w:jc w:val="both"/>
        <w:outlineLvl w:val="2"/>
      </w:pPr>
      <w:r>
        <w:rPr>
          <w:rFonts w:ascii="黑体" w:hAnsi="黑体" w:eastAsia="黑体"/>
          <w:sz w:val="32"/>
        </w:rPr>
        <w:t>十二、其他需说明的事项</w:t>
      </w:r>
    </w:p>
    <w:p w14:paraId="448FB969">
      <w:pPr>
        <w:spacing w:line="580" w:lineRule="exact"/>
        <w:ind w:firstLine="640"/>
        <w:jc w:val="both"/>
      </w:pPr>
      <w:r>
        <w:rPr>
          <w:rFonts w:ascii="仿宋_GB2312" w:hAnsi="仿宋_GB2312" w:eastAsia="仿宋_GB2312"/>
          <w:b w:val="0"/>
          <w:sz w:val="32"/>
        </w:rPr>
        <w:t>本单位无其他需说明的事项。</w:t>
      </w:r>
    </w:p>
    <w:p w14:paraId="6708E93D">
      <w:r>
        <w:br w:type="page"/>
      </w:r>
    </w:p>
    <w:p w14:paraId="1D85C6FD">
      <w:pPr>
        <w:spacing w:line="600" w:lineRule="exact"/>
        <w:jc w:val="center"/>
        <w:outlineLvl w:val="0"/>
      </w:pPr>
      <w:r>
        <w:rPr>
          <w:rFonts w:ascii="黑体" w:hAnsi="黑体" w:eastAsia="黑体"/>
          <w:sz w:val="32"/>
        </w:rPr>
        <w:t>第三部分 专业名词解释</w:t>
      </w:r>
    </w:p>
    <w:p w14:paraId="13B40B33">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078ADC10">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97AA8B7">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0206B232">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8478C69">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346B8EEF">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458D15A8">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28D672DB">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41B5431B">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2DC04D28">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1EC751ED">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2E12C6C6">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2DF3C29B">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17BEED3A">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05513BA4">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67A71380">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D422C19">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6CD369C5">
      <w:r>
        <w:br w:type="page"/>
      </w:r>
    </w:p>
    <w:p w14:paraId="18AC3CB5">
      <w:pPr>
        <w:spacing w:line="240" w:lineRule="auto"/>
        <w:jc w:val="center"/>
        <w:outlineLvl w:val="1"/>
      </w:pPr>
      <w:r>
        <w:rPr>
          <w:rFonts w:ascii="黑体" w:hAnsi="黑体" w:eastAsia="黑体"/>
          <w:sz w:val="32"/>
        </w:rPr>
        <w:t>第四部分 部门决算报表（见附表）</w:t>
      </w:r>
    </w:p>
    <w:p w14:paraId="41695C8A">
      <w:pPr>
        <w:autoSpaceDE w:val="0"/>
        <w:autoSpaceDN w:val="0"/>
        <w:spacing w:line="600" w:lineRule="exact"/>
        <w:ind w:firstLine="640" w:firstLineChars="200"/>
      </w:pPr>
      <w:r>
        <w:rPr>
          <w:rFonts w:ascii="仿宋_GB2312" w:hAnsi="仿宋_GB2312" w:eastAsia="仿宋_GB2312"/>
          <w:b w:val="0"/>
          <w:sz w:val="32"/>
        </w:rPr>
        <w:t>一、《收入支出决算总表》</w:t>
      </w:r>
    </w:p>
    <w:p w14:paraId="4D3C0B0B">
      <w:pPr>
        <w:autoSpaceDE w:val="0"/>
        <w:autoSpaceDN w:val="0"/>
        <w:spacing w:line="600" w:lineRule="exact"/>
        <w:ind w:firstLine="640" w:firstLineChars="200"/>
      </w:pPr>
      <w:r>
        <w:rPr>
          <w:rFonts w:ascii="仿宋_GB2312" w:hAnsi="仿宋_GB2312" w:eastAsia="仿宋_GB2312"/>
          <w:b w:val="0"/>
          <w:sz w:val="32"/>
        </w:rPr>
        <w:t>二、《收入决算表》</w:t>
      </w:r>
    </w:p>
    <w:p w14:paraId="47E0AB56">
      <w:pPr>
        <w:autoSpaceDE w:val="0"/>
        <w:autoSpaceDN w:val="0"/>
        <w:spacing w:line="600" w:lineRule="exact"/>
        <w:ind w:firstLine="640" w:firstLineChars="200"/>
      </w:pPr>
      <w:r>
        <w:rPr>
          <w:rFonts w:ascii="仿宋_GB2312" w:hAnsi="仿宋_GB2312" w:eastAsia="仿宋_GB2312"/>
          <w:b w:val="0"/>
          <w:sz w:val="32"/>
        </w:rPr>
        <w:t>三、《支出决算表》</w:t>
      </w:r>
    </w:p>
    <w:p w14:paraId="0B3BCD65">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44962C72">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5BCBDD64">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1444F88A">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47105F27">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2A26B733">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7A57CE4D">
      <w:pPr>
        <w:autoSpaceDE w:val="0"/>
        <w:autoSpaceDN w:val="0"/>
        <w:spacing w:line="600" w:lineRule="exact"/>
        <w:ind w:firstLine="640" w:firstLineChars="200"/>
      </w:pPr>
    </w:p>
    <w:p w14:paraId="3D2F1241">
      <w:pPr>
        <w:autoSpaceDE w:val="0"/>
        <w:autoSpaceDN w:val="0"/>
        <w:spacing w:line="600" w:lineRule="exact"/>
        <w:ind w:firstLine="640" w:firstLineChars="200"/>
      </w:pPr>
    </w:p>
    <w:p w14:paraId="1D2960A2">
      <w:pPr>
        <w:autoSpaceDE w:val="0"/>
        <w:autoSpaceDN w:val="0"/>
        <w:spacing w:line="600" w:lineRule="exact"/>
        <w:ind w:firstLine="640" w:firstLineChars="200"/>
      </w:pPr>
    </w:p>
    <w:p w14:paraId="0D7B0A1A">
      <w:pPr>
        <w:autoSpaceDE w:val="0"/>
        <w:autoSpaceDN w:val="0"/>
        <w:spacing w:line="600" w:lineRule="exact"/>
        <w:ind w:firstLine="640" w:firstLineChars="200"/>
      </w:pPr>
    </w:p>
    <w:p w14:paraId="25166DF5">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B679221-0FA9-4C61-A78C-04282FA15B8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CEBEC04A-D705-4C64-B0E5-F1E3BFD6A986}"/>
  </w:font>
  <w:font w:name="仿宋_GB2312">
    <w:panose1 w:val="02010609030101010101"/>
    <w:charset w:val="86"/>
    <w:family w:val="modern"/>
    <w:pitch w:val="default"/>
    <w:sig w:usb0="00000001" w:usb1="080E0000" w:usb2="00000000" w:usb3="00000000" w:csb0="00040000" w:csb1="00000000"/>
    <w:embedRegular r:id="rId3" w:fontKey="{34558E02-1F74-42F4-8C2E-E92F642EEC4A}"/>
  </w:font>
  <w:font w:name="楷体_GB2312">
    <w:altName w:val="楷体"/>
    <w:panose1 w:val="00000000000000000000"/>
    <w:charset w:val="00"/>
    <w:family w:val="auto"/>
    <w:pitch w:val="default"/>
    <w:sig w:usb0="00000000" w:usb1="00000000" w:usb2="00000000" w:usb3="00000000" w:csb0="00000000" w:csb1="00000000"/>
    <w:embedRegular r:id="rId4" w:fontKey="{77F93DA5-4881-4FF3-A63E-26AA060688DA}"/>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B402AB"/>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2730E6E"/>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2244BD0"/>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ce2adfb9-e1c4-4071-b60f-d6fdcf36db83</errorID>
      <errorWord>民族</errorWord>
      <group>L1_Sensitive</group>
      <groupName>敏感问题</groupName>
      <ability>L2_UserSensitive</ability>
      <abilityName>自定义敏感词</abilityName>
      <candidateList/>
      <explain>来自自定义敏感词库。</explain>
      <paraID>284DA7DF</paraID>
      <start>149</start>
      <end>151</end>
      <status>ignored</status>
      <modifiedWord/>
      <trackRevisions>false</trackRevisions>
    </reviewItem>
    <reviewItem>
      <errorID>20d4e3bd-5aef-4d7d-af3d-8cade11e20df</errorID>
      <errorWord>2月31日</errorWord>
      <group>L1_Sensitive</group>
      <groupName>敏感问题</groupName>
      <ability>L2_UserSensitive</ability>
      <abilityName>自定义敏感词</abilityName>
      <candidateList/>
      <explain>来自自定义敏感词库。</explain>
      <paraID> 5F4E527</paraID>
      <start>8</start>
      <end>13</end>
      <status>ignored</status>
      <modifiedWord/>
      <trackRevisions>false</trackRevisions>
    </reviewItem>
    <reviewItem>
      <errorID>5ff5afad-38f5-47d6-adf2-d4b073bfd5cc</errorID>
      <errorWord>监控</errorWord>
      <group>L1_Sensitive</group>
      <groupName>敏感问题</groupName>
      <ability>L2_UserSensitive</ability>
      <abilityName>自定义敏感词</abilityName>
      <candidateList/>
      <explain>来自自定义敏感词库。</explain>
      <paraID> F5F4649</paraID>
      <start>119</start>
      <end>121</end>
      <status>ignored</status>
      <modifiedWord/>
      <trackRevisions>false</trackRevisions>
    </reviewItem>
    <reviewItem>
      <errorID>ba07b418-85fa-458d-bfe6-883cc8d7257f</errorID>
      <errorWord>监控</errorWord>
      <group>L1_Sensitive</group>
      <groupName>敏感问题</groupName>
      <ability>L2_UserSensitive</ability>
      <abilityName>自定义敏感词</abilityName>
      <candidateList/>
      <explain>来自自定义敏感词库。</explain>
      <paraID> F5F4649</paraID>
      <start>193</start>
      <end>195</end>
      <status>ignored</status>
      <modifiedWord/>
      <trackRevisions>false</trackRevisions>
    </reviewItem>
    <reviewItem>
      <errorID>b436737c-deae-4394-8134-12f4c2e773f2</errorID>
      <errorWord>受到</errorWord>
      <group>L1_Word</group>
      <groupName>字词问题</groupName>
      <ability>L2_Typo</ability>
      <abilityName>字词错误</abilityName>
      <candidateList>
        <item>受</item>
      </candidateList>
      <explain/>
      <paraID>2A17424B</paraID>
      <start>0</start>
      <end>2</end>
      <status>ignored</status>
      <modifiedWord/>
      <trackRevisions>false</trackRevisions>
    </reviewItem>
    <reviewItem>
      <errorID>cf30af00-9aaa-413d-af9c-c3ab5da03612</errorID>
      <errorWord>标注</errorWord>
      <group>L1_Word</group>
      <groupName>字词问题</groupName>
      <ability>L2_Typo</ability>
      <abilityName>字词错误</abilityName>
      <candidateList>
        <item>标准</item>
      </candidateList>
      <explain/>
      <paraID>340FB4F5</paraID>
      <start>6</start>
      <end>8</end>
      <status>modified</status>
      <modifiedWord>标准</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584a7979-ee9e-46cb-b1c4-4c62428f273d}">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6851</Words>
  <Characters>7687</Characters>
  <Lines>10</Lines>
  <Paragraphs>2</Paragraphs>
  <TotalTime>7</TotalTime>
  <ScaleCrop>false</ScaleCrop>
  <LinksUpToDate>false</LinksUpToDate>
  <CharactersWithSpaces>7697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2026-09-02T11:33:32Z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