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6C7EC64">
      <w:r>
        <w:br w:type="page"/>
      </w:r>
    </w:p>
    <w:p w14:paraId="23C2AA03">
      <w:pPr>
        <w:spacing w:line="640" w:lineRule="exact"/>
        <w:jc w:val="center"/>
        <w:outlineLvl w:val="1"/>
      </w:pPr>
      <w:r>
        <w:rPr>
          <w:rFonts w:ascii="黑体" w:hAnsi="黑体" w:eastAsia="黑体"/>
          <w:sz w:val="32"/>
        </w:rPr>
        <w:t>第一部分 单位概况</w:t>
      </w:r>
    </w:p>
    <w:p w14:paraId="7EE3C651">
      <w:pPr>
        <w:spacing w:line="640" w:lineRule="exact"/>
        <w:ind w:firstLine="640"/>
        <w:jc w:val="both"/>
        <w:outlineLvl w:val="2"/>
      </w:pPr>
      <w:r>
        <w:rPr>
          <w:rFonts w:ascii="黑体" w:hAnsi="黑体" w:eastAsia="黑体"/>
          <w:sz w:val="32"/>
        </w:rPr>
        <w:t>一、主要职能</w:t>
      </w:r>
    </w:p>
    <w:p w14:paraId="05C22D00">
      <w:pPr>
        <w:spacing w:line="580" w:lineRule="exact"/>
        <w:ind w:firstLine="640"/>
        <w:jc w:val="both"/>
      </w:pPr>
      <w:r>
        <w:rPr>
          <w:rFonts w:ascii="仿宋_GB2312" w:hAnsi="仿宋_GB2312" w:eastAsia="仿宋_GB2312"/>
          <w:sz w:val="32"/>
        </w:rPr>
        <w:t>昌吉学院位于丝绸之路经济带核心区、新疆天山北坡经济带、乌昌石城市群率先发展的核心区域—美丽的昌吉市，学校的前身是创立于1959年9月的昌吉师范学校，1985年12月升格为昌吉师范专科学校，2001年5月经教育部和自治区人民政府批准为区属本科层次普通高等学校—昌吉学院。</w:t>
      </w:r>
    </w:p>
    <w:p w14:paraId="092FC490">
      <w:pPr>
        <w:spacing w:line="580" w:lineRule="exact"/>
        <w:ind w:firstLine="640"/>
        <w:jc w:val="both"/>
      </w:pPr>
      <w:r>
        <w:rPr>
          <w:rFonts w:ascii="仿宋_GB2312" w:hAnsi="仿宋_GB2312" w:eastAsia="仿宋_GB2312"/>
          <w:sz w:val="32"/>
        </w:rPr>
        <w:t>学校设有15个二级教学单位（马克思主义学院、物理与材料科学院、能源与控制工程学院、化学与化工学院、信息工程学院、航空学院、经济与管理学院、数学与数据科学院、教育科学院、中国语言文学院、外国语学院、音乐与舞蹈学院、美术与设计学院、体育与健康学院、继续教育与培训学院），共有67个本科专业，覆盖工学、理学、教育学、文学、经济学、法学、管理学、艺术学、农学9个学科门类。学校于2013年开始招收工程硕士专业学位研究生，2018年获批硕士学位授予单位，现有化学工程与技术1个一级学科硕士学位授权点，材料与化工、能源动力、交通运输、教育4个专业学位硕士授权点。现有小学教育1个国家级一流本科专业，材料科学与工程1个自治区重点学科，化学工程与工艺、能源与动力工程、数学与应用数学等10个自治区级一流本科专业，思想道德与法治、民航概论、光学、微观经济学、教育学等23门自治区级一流本科课程，已形成了专业结构合理、理工科引领、多学科协同发展的办学格局。</w:t>
      </w:r>
    </w:p>
    <w:p w14:paraId="6FA89C41">
      <w:pPr>
        <w:spacing w:line="580" w:lineRule="exact"/>
        <w:ind w:firstLine="640"/>
        <w:jc w:val="both"/>
      </w:pPr>
      <w:r>
        <w:rPr>
          <w:rFonts w:ascii="仿宋_GB2312" w:hAnsi="仿宋_GB2312" w:eastAsia="仿宋_GB2312"/>
          <w:sz w:val="32"/>
        </w:rPr>
        <w:t>学校获教育部首批国家语言文字推广基地、自治区语言文字工作示范校、自治区铸牢中华民族共同体意识研究与实践培育基地。现有新疆低阶煤高值化绿色利用重点实验室、新疆低空域智能管控及安全保障技术重点实验室2个自治区重点实验室及新疆基础教育质量提升研究中心1个自治区文科基地；有自治区通用技术实验教学示范中心、自治区物理与新能源材料融合创新实验教学示范中心2个自治区教学示范中心；共建天山实验室、新疆能源化工实验室、山东大学新疆研究院、准东厦大研究院等。近年来，获自治区科学技术进步奖二等奖1项、自治区自然科学奖三等奖1项、省级及以上教学成果奖24项、绿色矿山科学技术奖2项、中国建筑材料流通协会科学技术奖技术创新奖一等奖1项。</w:t>
      </w:r>
    </w:p>
    <w:p w14:paraId="50477379">
      <w:pPr>
        <w:spacing w:line="640" w:lineRule="exact"/>
        <w:ind w:firstLine="640"/>
        <w:jc w:val="both"/>
        <w:outlineLvl w:val="2"/>
      </w:pPr>
      <w:r>
        <w:rPr>
          <w:rFonts w:ascii="黑体" w:hAnsi="黑体" w:eastAsia="黑体"/>
          <w:sz w:val="32"/>
        </w:rPr>
        <w:t>二、机构设置</w:t>
      </w:r>
    </w:p>
    <w:p w14:paraId="24D04334">
      <w:pPr>
        <w:spacing w:line="580" w:lineRule="exact"/>
        <w:ind w:firstLine="640"/>
        <w:jc w:val="both"/>
      </w:pPr>
      <w:r>
        <w:rPr>
          <w:rFonts w:ascii="仿宋_GB2312" w:hAnsi="仿宋_GB2312" w:eastAsia="仿宋_GB2312"/>
          <w:sz w:val="32"/>
        </w:rPr>
        <w:t>昌吉学院无下属预算单位。</w:t>
      </w:r>
    </w:p>
    <w:p w14:paraId="4E470BC0">
      <w:r>
        <w:br w:type="page"/>
      </w:r>
    </w:p>
    <w:p w14:paraId="06030C93">
      <w:pPr>
        <w:spacing w:line="240" w:lineRule="auto"/>
        <w:jc w:val="center"/>
        <w:outlineLvl w:val="1"/>
      </w:pPr>
      <w:r>
        <w:rPr>
          <w:rFonts w:ascii="黑体" w:hAnsi="黑体" w:eastAsia="黑体"/>
          <w:sz w:val="32"/>
        </w:rPr>
        <w:t>第二部分 部门决算情况说明</w:t>
      </w:r>
    </w:p>
    <w:p w14:paraId="41A0BD0C">
      <w:pPr>
        <w:spacing w:line="640" w:lineRule="exact"/>
        <w:ind w:firstLine="640"/>
        <w:jc w:val="both"/>
        <w:outlineLvl w:val="2"/>
      </w:pPr>
      <w:r>
        <w:rPr>
          <w:rFonts w:ascii="黑体" w:hAnsi="黑体" w:eastAsia="黑体"/>
          <w:sz w:val="32"/>
        </w:rPr>
        <w:t>一、收入支出决算总体情况说明</w:t>
      </w:r>
    </w:p>
    <w:p w14:paraId="530ED6B8">
      <w:pPr>
        <w:spacing w:line="580" w:lineRule="exact"/>
        <w:ind w:firstLine="640"/>
        <w:jc w:val="both"/>
      </w:pPr>
      <w:r>
        <w:rPr>
          <w:rFonts w:ascii="仿宋_GB2312" w:hAnsi="仿宋_GB2312" w:eastAsia="仿宋_GB2312"/>
          <w:b/>
          <w:sz w:val="32"/>
        </w:rPr>
        <w:t>2025年度收入总计70,379.61万元，</w:t>
      </w:r>
      <w:r>
        <w:rPr>
          <w:rFonts w:ascii="仿宋_GB2312" w:hAnsi="仿宋_GB2312" w:eastAsia="仿宋_GB2312"/>
          <w:b w:val="0"/>
          <w:sz w:val="32"/>
        </w:rPr>
        <w:t>其中：本年收入合计63,789.46万元，使用非财政拨款结余（含专用结余）0.00万元，年初结转和结余6,590.15万元。</w:t>
      </w:r>
    </w:p>
    <w:p w14:paraId="4345C945">
      <w:pPr>
        <w:spacing w:line="580" w:lineRule="exact"/>
        <w:ind w:firstLine="640"/>
        <w:jc w:val="both"/>
      </w:pPr>
      <w:r>
        <w:rPr>
          <w:rFonts w:ascii="仿宋_GB2312" w:hAnsi="仿宋_GB2312" w:eastAsia="仿宋_GB2312"/>
          <w:b/>
          <w:sz w:val="32"/>
        </w:rPr>
        <w:t>2025年度支出总计70,379.61万元，</w:t>
      </w:r>
      <w:r>
        <w:rPr>
          <w:rFonts w:ascii="仿宋_GB2312" w:hAnsi="仿宋_GB2312" w:eastAsia="仿宋_GB2312"/>
          <w:b w:val="0"/>
          <w:sz w:val="32"/>
        </w:rPr>
        <w:t>其中：本年支出合计63,220.70万元，结余分配0.00万元，年末结转和结余7,158.92万元。</w:t>
      </w:r>
    </w:p>
    <w:p w14:paraId="51CFE84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增加907.82万元，增长1.31%，主要原因是：2025年事业收入支出较上年增加，</w:t>
      </w:r>
      <w:r>
        <w:rPr>
          <w:rFonts w:hint="eastAsia" w:ascii="仿宋_GB2312" w:hAnsi="仿宋_GB2312" w:eastAsia="仿宋_GB2312"/>
          <w:b w:val="0"/>
          <w:sz w:val="32"/>
          <w:lang w:val="en-US" w:eastAsia="zh-CN"/>
        </w:rPr>
        <w:t>增加</w:t>
      </w:r>
      <w:r>
        <w:rPr>
          <w:rFonts w:ascii="仿宋_GB2312" w:hAnsi="仿宋_GB2312" w:eastAsia="仿宋_GB2312"/>
          <w:b w:val="0"/>
          <w:sz w:val="32"/>
        </w:rPr>
        <w:t>基本建设及校园维修项目。</w:t>
      </w:r>
    </w:p>
    <w:p w14:paraId="71C48BDC">
      <w:pPr>
        <w:spacing w:line="640" w:lineRule="exact"/>
        <w:ind w:firstLine="640"/>
        <w:jc w:val="both"/>
        <w:outlineLvl w:val="2"/>
      </w:pPr>
      <w:r>
        <w:rPr>
          <w:rFonts w:ascii="黑体" w:hAnsi="黑体" w:eastAsia="黑体"/>
          <w:sz w:val="32"/>
        </w:rPr>
        <w:t>二、收入决算情况说明</w:t>
      </w:r>
    </w:p>
    <w:p w14:paraId="579C7112">
      <w:pPr>
        <w:spacing w:line="580" w:lineRule="exact"/>
        <w:ind w:firstLine="640"/>
        <w:jc w:val="both"/>
      </w:pPr>
      <w:r>
        <w:rPr>
          <w:rFonts w:ascii="仿宋_GB2312" w:hAnsi="仿宋_GB2312" w:eastAsia="仿宋_GB2312"/>
          <w:b/>
          <w:sz w:val="32"/>
        </w:rPr>
        <w:t>本年收入63,789.46万元，</w:t>
      </w:r>
      <w:r>
        <w:rPr>
          <w:rFonts w:ascii="仿宋_GB2312" w:hAnsi="仿宋_GB2312" w:eastAsia="仿宋_GB2312"/>
          <w:b w:val="0"/>
          <w:sz w:val="32"/>
        </w:rPr>
        <w:t>其中：财政拨款收入51,202.41万元，占80.27%；上级补助收入0.00万元，占0.00%；事业收入9,104.02万元，占14.27%；经营收入0.00万元，占0.00%；附属单位上缴收入0.00万元，占0.00%；其他收入3,483.03万元，占5.46%。</w:t>
      </w:r>
    </w:p>
    <w:p w14:paraId="2BC9FBF6">
      <w:pPr>
        <w:spacing w:line="640" w:lineRule="exact"/>
        <w:ind w:firstLine="640"/>
        <w:jc w:val="both"/>
        <w:outlineLvl w:val="2"/>
      </w:pPr>
      <w:r>
        <w:rPr>
          <w:rFonts w:ascii="黑体" w:hAnsi="黑体" w:eastAsia="黑体"/>
          <w:sz w:val="32"/>
        </w:rPr>
        <w:t>三、支出决算情况说明</w:t>
      </w:r>
    </w:p>
    <w:p w14:paraId="4A3908EC">
      <w:pPr>
        <w:spacing w:line="580" w:lineRule="exact"/>
        <w:ind w:firstLine="640"/>
        <w:jc w:val="both"/>
      </w:pPr>
      <w:r>
        <w:rPr>
          <w:rFonts w:ascii="仿宋_GB2312" w:hAnsi="仿宋_GB2312" w:eastAsia="仿宋_GB2312"/>
          <w:b/>
          <w:sz w:val="32"/>
        </w:rPr>
        <w:t>本年支出63,220.70万元，</w:t>
      </w:r>
      <w:r>
        <w:rPr>
          <w:rFonts w:ascii="仿宋_GB2312" w:hAnsi="仿宋_GB2312" w:eastAsia="仿宋_GB2312"/>
          <w:b w:val="0"/>
          <w:sz w:val="32"/>
        </w:rPr>
        <w:t>其中：基本支出38,431.77万元，占60.79%；项目支出24,788.93万元，占39.21%；上缴上级支出0.00万元，占0.00%；经营支出0.00万元，占0.00%；对附属单位补助支出0.00万元，占0.00%。</w:t>
      </w:r>
    </w:p>
    <w:p w14:paraId="4F98CBDD">
      <w:pPr>
        <w:spacing w:line="640" w:lineRule="exact"/>
        <w:ind w:firstLine="640"/>
        <w:jc w:val="both"/>
        <w:outlineLvl w:val="2"/>
      </w:pPr>
      <w:r>
        <w:rPr>
          <w:rFonts w:ascii="黑体" w:hAnsi="黑体" w:eastAsia="黑体"/>
          <w:sz w:val="32"/>
        </w:rPr>
        <w:t>四、财政拨款收入支出决算总体情况说明</w:t>
      </w:r>
    </w:p>
    <w:p w14:paraId="040296DC">
      <w:pPr>
        <w:spacing w:line="580" w:lineRule="exact"/>
        <w:ind w:firstLine="640"/>
        <w:jc w:val="both"/>
      </w:pPr>
      <w:r>
        <w:rPr>
          <w:rFonts w:ascii="仿宋_GB2312" w:hAnsi="仿宋_GB2312" w:eastAsia="仿宋_GB2312"/>
          <w:b/>
          <w:sz w:val="32"/>
        </w:rPr>
        <w:t>2025年度财政拨款收入总计53,574.82万元，</w:t>
      </w:r>
      <w:r>
        <w:rPr>
          <w:rFonts w:ascii="仿宋_GB2312" w:hAnsi="仿宋_GB2312" w:eastAsia="仿宋_GB2312"/>
          <w:b w:val="0"/>
          <w:sz w:val="32"/>
        </w:rPr>
        <w:t>其中：年初财政拨款结转和结余2,372.41万元，本年财政拨款收入51,202.41万元。</w:t>
      </w:r>
      <w:r>
        <w:rPr>
          <w:rFonts w:ascii="仿宋_GB2312" w:hAnsi="仿宋_GB2312" w:eastAsia="仿宋_GB2312"/>
          <w:b/>
          <w:sz w:val="32"/>
        </w:rPr>
        <w:t>财政拨款支出总计53,574.82万元，</w:t>
      </w:r>
      <w:r>
        <w:rPr>
          <w:rFonts w:ascii="仿宋_GB2312" w:hAnsi="仿宋_GB2312" w:eastAsia="仿宋_GB2312"/>
          <w:b w:val="0"/>
          <w:sz w:val="32"/>
        </w:rPr>
        <w:t>其中：年末财政拨款结转和结余1,491.18万元，本年财政拨款支出52,083.64万元。</w:t>
      </w:r>
    </w:p>
    <w:p w14:paraId="6BF245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减少4,505.52万元，下降7.76%，主要原因是：本年减少中央基建投资专项。</w:t>
      </w:r>
      <w:r>
        <w:rPr>
          <w:rFonts w:ascii="仿宋_GB2312" w:hAnsi="仿宋_GB2312" w:eastAsia="仿宋_GB2312"/>
          <w:b/>
          <w:sz w:val="32"/>
        </w:rPr>
        <w:t>与年初预算相比，</w:t>
      </w:r>
      <w:r>
        <w:rPr>
          <w:rFonts w:ascii="仿宋_GB2312" w:hAnsi="仿宋_GB2312" w:eastAsia="仿宋_GB2312"/>
          <w:b w:val="0"/>
          <w:sz w:val="32"/>
        </w:rPr>
        <w:t>年初预算数50,249.70万元，决算数53,574.82万元，预决算差异率6.62%，主要原因是：年中追加中央和自治区学生资助补助第二批资金、新疆人才发展基金、中央支持地方高校改革发展第二批资金、中小学幼儿园教师国家级培训计划资金、自治区全社会节能专项资金，导致预决算存在差异。</w:t>
      </w:r>
    </w:p>
    <w:p w14:paraId="4FF09A23">
      <w:pPr>
        <w:spacing w:line="640" w:lineRule="exact"/>
        <w:ind w:firstLine="640"/>
        <w:jc w:val="both"/>
        <w:outlineLvl w:val="2"/>
      </w:pPr>
      <w:r>
        <w:rPr>
          <w:rFonts w:ascii="黑体" w:hAnsi="黑体" w:eastAsia="黑体"/>
          <w:sz w:val="32"/>
        </w:rPr>
        <w:t>五、一般公共预算财政拨款支出决算情况说明</w:t>
      </w:r>
    </w:p>
    <w:p w14:paraId="048CC10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教学科研、学生保障、校园运行维护等重点支出，体现在有关支出科目中。</w:t>
      </w:r>
    </w:p>
    <w:p w14:paraId="70D0A530">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按照支出功能分类，教育支出（类）普通教育（款）高等教育（项）的支出占本年财政拨款支出总额的比重最高，2025年度决算数为51,854.61万元，占比99.56%，主要用于人员工资福利支出、日常公用经费。</w:t>
      </w:r>
    </w:p>
    <w:p w14:paraId="57A23525">
      <w:pPr>
        <w:spacing w:line="640" w:lineRule="exact"/>
        <w:ind w:firstLine="640"/>
        <w:jc w:val="both"/>
        <w:outlineLvl w:val="3"/>
      </w:pPr>
      <w:r>
        <w:rPr>
          <w:rFonts w:ascii="楷体_GB2312" w:hAnsi="楷体_GB2312" w:eastAsia="楷体_GB2312"/>
          <w:b/>
          <w:sz w:val="32"/>
        </w:rPr>
        <w:t>（一）一般公共预算财政拨款支出决算总体情况</w:t>
      </w:r>
    </w:p>
    <w:p w14:paraId="1802AE50">
      <w:pPr>
        <w:spacing w:line="580" w:lineRule="exact"/>
        <w:ind w:firstLine="640"/>
        <w:jc w:val="both"/>
      </w:pPr>
      <w:r>
        <w:rPr>
          <w:rFonts w:ascii="仿宋_GB2312" w:hAnsi="仿宋_GB2312" w:eastAsia="仿宋_GB2312"/>
          <w:b/>
          <w:sz w:val="32"/>
        </w:rPr>
        <w:t>2025年度一般公共预算财政拨款支出52,083.64万元，</w:t>
      </w:r>
      <w:r>
        <w:rPr>
          <w:rFonts w:ascii="仿宋_GB2312" w:hAnsi="仿宋_GB2312" w:eastAsia="仿宋_GB2312"/>
          <w:b w:val="0"/>
          <w:sz w:val="32"/>
        </w:rPr>
        <w:t>占本年支出合计的82.38%。</w:t>
      </w:r>
      <w:r>
        <w:rPr>
          <w:rFonts w:ascii="仿宋_GB2312" w:hAnsi="仿宋_GB2312" w:eastAsia="仿宋_GB2312"/>
          <w:b/>
          <w:sz w:val="32"/>
        </w:rPr>
        <w:t>与上年相比，</w:t>
      </w:r>
      <w:r>
        <w:rPr>
          <w:rFonts w:ascii="仿宋_GB2312" w:hAnsi="仿宋_GB2312" w:eastAsia="仿宋_GB2312"/>
          <w:b w:val="0"/>
          <w:sz w:val="32"/>
        </w:rPr>
        <w:t>减少3,624.28万元，下降6.51%，主要原因是：本年减少中央基建投资专项。</w:t>
      </w:r>
      <w:r>
        <w:rPr>
          <w:rFonts w:ascii="仿宋_GB2312" w:hAnsi="仿宋_GB2312" w:eastAsia="仿宋_GB2312"/>
          <w:b/>
          <w:sz w:val="32"/>
        </w:rPr>
        <w:t>与年初预算相比，</w:t>
      </w:r>
      <w:r>
        <w:rPr>
          <w:rFonts w:ascii="仿宋_GB2312" w:hAnsi="仿宋_GB2312" w:eastAsia="仿宋_GB2312"/>
          <w:b w:val="0"/>
          <w:sz w:val="32"/>
        </w:rPr>
        <w:t>年初预算数50,249.70万元，决算数52,083.64万元，预决算差异率3.65%，主要原因是：年中追加中央和自治区学生资助补助第二批资金、新疆人才发展基金、中央支持地方高校改革发展第二批资金、中小学幼儿园教师国家级培训计划资金、自治区全社会节能专项资金，导致预决算存在差异。</w:t>
      </w:r>
    </w:p>
    <w:p w14:paraId="68315050">
      <w:pPr>
        <w:spacing w:line="640" w:lineRule="exact"/>
        <w:ind w:firstLine="640"/>
        <w:jc w:val="both"/>
        <w:outlineLvl w:val="3"/>
      </w:pPr>
      <w:r>
        <w:rPr>
          <w:rFonts w:ascii="楷体_GB2312" w:hAnsi="楷体_GB2312" w:eastAsia="楷体_GB2312"/>
          <w:b/>
          <w:sz w:val="32"/>
        </w:rPr>
        <w:t>（二）一般公共预算财政拨款支出决算结构情况</w:t>
      </w:r>
    </w:p>
    <w:p w14:paraId="16334704">
      <w:pPr>
        <w:spacing w:line="580" w:lineRule="exact"/>
        <w:ind w:firstLine="640"/>
        <w:jc w:val="both"/>
      </w:pPr>
      <w:r>
        <w:rPr>
          <w:rFonts w:ascii="仿宋_GB2312" w:hAnsi="仿宋_GB2312" w:eastAsia="仿宋_GB2312"/>
          <w:b w:val="0"/>
          <w:sz w:val="32"/>
        </w:rPr>
        <w:t>1.教育支出（类）51,895.02万元，占99.64%。</w:t>
      </w:r>
    </w:p>
    <w:p w14:paraId="79057964">
      <w:pPr>
        <w:spacing w:line="580" w:lineRule="exact"/>
        <w:ind w:firstLine="640"/>
        <w:jc w:val="both"/>
      </w:pPr>
      <w:r>
        <w:rPr>
          <w:rFonts w:ascii="仿宋_GB2312" w:hAnsi="仿宋_GB2312" w:eastAsia="仿宋_GB2312"/>
          <w:b w:val="0"/>
          <w:sz w:val="32"/>
        </w:rPr>
        <w:t>2.科学技术支出（类）60.64万元，占0.12%。</w:t>
      </w:r>
    </w:p>
    <w:p w14:paraId="2798EE36">
      <w:pPr>
        <w:spacing w:line="580" w:lineRule="exact"/>
        <w:ind w:firstLine="640"/>
        <w:jc w:val="both"/>
      </w:pPr>
      <w:r>
        <w:rPr>
          <w:rFonts w:ascii="仿宋_GB2312" w:hAnsi="仿宋_GB2312" w:eastAsia="仿宋_GB2312"/>
          <w:b w:val="0"/>
          <w:sz w:val="32"/>
        </w:rPr>
        <w:t>3.文化旅游体育与传媒支出（类）27.97万元，占0.05%。</w:t>
      </w:r>
    </w:p>
    <w:p w14:paraId="2C36E145">
      <w:pPr>
        <w:spacing w:line="580" w:lineRule="exact"/>
        <w:ind w:firstLine="640"/>
        <w:jc w:val="both"/>
      </w:pPr>
      <w:r>
        <w:rPr>
          <w:rFonts w:ascii="仿宋_GB2312" w:hAnsi="仿宋_GB2312" w:eastAsia="仿宋_GB2312"/>
          <w:b w:val="0"/>
          <w:sz w:val="32"/>
        </w:rPr>
        <w:t>4.节能环保支出（类）100.00万元，占0.19%。</w:t>
      </w:r>
    </w:p>
    <w:p w14:paraId="4BFE8CB4">
      <w:pPr>
        <w:spacing w:line="640" w:lineRule="exact"/>
        <w:ind w:firstLine="640"/>
        <w:jc w:val="both"/>
        <w:outlineLvl w:val="3"/>
      </w:pPr>
      <w:r>
        <w:rPr>
          <w:rFonts w:ascii="楷体_GB2312" w:hAnsi="楷体_GB2312" w:eastAsia="楷体_GB2312"/>
          <w:b/>
          <w:sz w:val="32"/>
        </w:rPr>
        <w:t>（三）一般公共预算财政拨款支出决算具体情况</w:t>
      </w:r>
    </w:p>
    <w:p w14:paraId="7EAFD4FC">
      <w:pPr>
        <w:spacing w:line="580" w:lineRule="exact"/>
        <w:ind w:firstLine="640"/>
        <w:jc w:val="both"/>
      </w:pPr>
      <w:r>
        <w:rPr>
          <w:rFonts w:ascii="仿宋_GB2312" w:hAnsi="仿宋_GB2312" w:eastAsia="仿宋_GB2312"/>
          <w:b w:val="0"/>
          <w:sz w:val="32"/>
        </w:rPr>
        <w:t>1.教育支出（类）普通教育（款）高等教育（项）：支出决算数为51,854.61万元，比上年决算减少2,142.87万元，下降3.97%，主要原因是：本年减少生均</w:t>
      </w:r>
      <w:bookmarkStart w:id="0" w:name="_GoBack"/>
      <w:bookmarkEnd w:id="0"/>
      <w:r>
        <w:rPr>
          <w:rFonts w:ascii="仿宋_GB2312" w:hAnsi="仿宋_GB2312" w:eastAsia="仿宋_GB2312"/>
          <w:b w:val="0"/>
          <w:sz w:val="32"/>
        </w:rPr>
        <w:t>拨款专项，相应支出减少。</w:t>
      </w:r>
    </w:p>
    <w:p w14:paraId="1F2FC621">
      <w:pPr>
        <w:spacing w:line="580" w:lineRule="exact"/>
        <w:ind w:firstLine="640"/>
        <w:jc w:val="both"/>
      </w:pPr>
      <w:r>
        <w:rPr>
          <w:rFonts w:ascii="仿宋_GB2312" w:hAnsi="仿宋_GB2312" w:eastAsia="仿宋_GB2312"/>
          <w:b w:val="0"/>
          <w:sz w:val="32"/>
        </w:rPr>
        <w:t>2.教育支出（类）职业教育（款）高等职业教育（项）：支出决算数为40.42万元，比上年决算减少1,447.93万元，下降97.28%，主要原因是：本年减少中央基建投资专项，故支出减少。</w:t>
      </w:r>
    </w:p>
    <w:p w14:paraId="3EE1BB48">
      <w:pPr>
        <w:spacing w:line="580" w:lineRule="exact"/>
        <w:ind w:firstLine="640"/>
        <w:jc w:val="both"/>
      </w:pPr>
      <w:r>
        <w:rPr>
          <w:rFonts w:ascii="仿宋_GB2312" w:hAnsi="仿宋_GB2312" w:eastAsia="仿宋_GB2312"/>
          <w:b w:val="0"/>
          <w:sz w:val="32"/>
        </w:rPr>
        <w:t>3.科学技术支出（类）基础研究（款）科技人才队伍建设（项）：支出决算数为60.64万元，比上年决算增加60.64万元，增长100.00%，主要原因是：本年增加新疆人才发展基金专项，故支出增加。</w:t>
      </w:r>
    </w:p>
    <w:p w14:paraId="50322C38">
      <w:pPr>
        <w:spacing w:line="580" w:lineRule="exact"/>
        <w:ind w:firstLine="640"/>
        <w:jc w:val="both"/>
      </w:pPr>
      <w:r>
        <w:rPr>
          <w:rFonts w:ascii="仿宋_GB2312" w:hAnsi="仿宋_GB2312" w:eastAsia="仿宋_GB2312"/>
          <w:b w:val="0"/>
          <w:sz w:val="32"/>
        </w:rPr>
        <w:t>4.文化旅游体育与传媒支出（类）文化和旅游（款）文化创作与保护（项）：支出决算数为0.00万元，比上年决算减少5.00万元，下降100.00%，主要原因是：本年减少自治区文艺扶持激励项目，故支出减少。</w:t>
      </w:r>
    </w:p>
    <w:p w14:paraId="3F87DB79">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27.97万元，比上年决算增加13.47万元，增长92.90%，主要原因是：本年加快新疆人才发展基金项目执行进度同时消化上年结转资金，故支出增加。</w:t>
      </w:r>
    </w:p>
    <w:p w14:paraId="63588D7C">
      <w:pPr>
        <w:spacing w:line="580" w:lineRule="exact"/>
        <w:ind w:firstLine="640"/>
        <w:jc w:val="both"/>
      </w:pPr>
      <w:r>
        <w:rPr>
          <w:rFonts w:ascii="仿宋_GB2312" w:hAnsi="仿宋_GB2312" w:eastAsia="仿宋_GB2312"/>
          <w:b w:val="0"/>
          <w:sz w:val="32"/>
        </w:rPr>
        <w:t>6.文化旅游体育与传媒支出（类）体育（款）体育竞赛（项）：支出决算数为0.00万元，比上年决算减少0.50万元，下降100.00%，主要原因是：本年减少十九届亚运会奖励项目，故支出减少。</w:t>
      </w:r>
    </w:p>
    <w:p w14:paraId="1348E620">
      <w:pPr>
        <w:spacing w:line="580" w:lineRule="exact"/>
        <w:ind w:firstLine="640"/>
        <w:jc w:val="both"/>
      </w:pPr>
      <w:r>
        <w:rPr>
          <w:rFonts w:ascii="仿宋_GB2312" w:hAnsi="仿宋_GB2312" w:eastAsia="仿宋_GB2312"/>
          <w:b w:val="0"/>
          <w:sz w:val="32"/>
        </w:rPr>
        <w:t>7.卫生健康支出（类）医疗救助（款）其他医疗救助支出（项）：支出决算数为0.00万元，比上年决算减少202.09万元，下降100.00%，主要原因是：本年大学生医疗补助专项资金拨付至教育支出（类）普通教育（款）高等教育（项），本款项无该专项资金收入支出，故支出减少。</w:t>
      </w:r>
    </w:p>
    <w:p w14:paraId="54727254">
      <w:pPr>
        <w:spacing w:line="580" w:lineRule="exact"/>
        <w:ind w:firstLine="640"/>
        <w:jc w:val="both"/>
      </w:pPr>
      <w:r>
        <w:rPr>
          <w:rFonts w:ascii="仿宋_GB2312" w:hAnsi="仿宋_GB2312" w:eastAsia="仿宋_GB2312"/>
          <w:b w:val="0"/>
          <w:sz w:val="32"/>
        </w:rPr>
        <w:t>8.节能环保支出（类）能源节约利用（款）能源节约利用（项）：支出决算数为100.00万元，比上年决算增加100.00万元，增长100.00%，主要原因是：本年增加自治区全社会节能专项，故支出增加。</w:t>
      </w:r>
    </w:p>
    <w:p w14:paraId="7CAC174D">
      <w:pPr>
        <w:spacing w:line="640" w:lineRule="exact"/>
        <w:ind w:firstLine="640"/>
        <w:jc w:val="both"/>
        <w:outlineLvl w:val="2"/>
      </w:pPr>
      <w:r>
        <w:rPr>
          <w:rFonts w:ascii="黑体" w:hAnsi="黑体" w:eastAsia="黑体"/>
          <w:sz w:val="32"/>
        </w:rPr>
        <w:t>六、一般公共预算财政拨款基本支出决算情况说明</w:t>
      </w:r>
    </w:p>
    <w:p w14:paraId="0510BEC9">
      <w:pPr>
        <w:spacing w:line="580" w:lineRule="exact"/>
        <w:ind w:firstLine="640"/>
        <w:jc w:val="both"/>
      </w:pPr>
      <w:r>
        <w:rPr>
          <w:rFonts w:ascii="仿宋_GB2312" w:hAnsi="仿宋_GB2312" w:eastAsia="仿宋_GB2312"/>
          <w:b w:val="0"/>
          <w:sz w:val="32"/>
        </w:rPr>
        <w:t>2025年度一般公共预算财政拨款基本支出38,406.77万元，其中：</w:t>
      </w:r>
      <w:r>
        <w:rPr>
          <w:rFonts w:ascii="仿宋_GB2312" w:hAnsi="仿宋_GB2312" w:eastAsia="仿宋_GB2312"/>
          <w:b/>
          <w:sz w:val="32"/>
        </w:rPr>
        <w:t>人员经费31,645.77万元，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3F4A845D">
      <w:pPr>
        <w:spacing w:line="580" w:lineRule="exact"/>
        <w:ind w:firstLine="640"/>
        <w:jc w:val="both"/>
      </w:pPr>
      <w:r>
        <w:rPr>
          <w:rFonts w:ascii="仿宋_GB2312" w:hAnsi="仿宋_GB2312" w:eastAsia="仿宋_GB2312"/>
          <w:b/>
          <w:sz w:val="32"/>
        </w:rPr>
        <w:t>公用经费6,760.99万元，</w:t>
      </w:r>
      <w:r>
        <w:rPr>
          <w:rFonts w:ascii="仿宋_GB2312" w:hAnsi="仿宋_GB2312" w:eastAsia="仿宋_GB2312"/>
          <w:b w:val="0"/>
          <w:sz w:val="32"/>
        </w:rPr>
        <w:t>包括：办公费、印刷费、手续费、水费、电费、邮电费、取暖费、物业管理费、差旅费、维修（护）费、租赁费、培训费、公务接待费、专用材料费、劳务费、委托业务费、工会经费、福利费、公务用车运行维护费、其他交通费用、税金及附加费用、其他商品和服务支出、公务用车购置。</w:t>
      </w:r>
    </w:p>
    <w:p w14:paraId="58D50528">
      <w:pPr>
        <w:spacing w:line="640" w:lineRule="exact"/>
        <w:ind w:firstLine="640"/>
        <w:jc w:val="both"/>
        <w:outlineLvl w:val="2"/>
      </w:pPr>
      <w:r>
        <w:rPr>
          <w:rFonts w:ascii="黑体" w:hAnsi="黑体" w:eastAsia="黑体"/>
          <w:sz w:val="32"/>
        </w:rPr>
        <w:t>七、政府性基金预算财政拨款收入支出决算情况说明</w:t>
      </w:r>
    </w:p>
    <w:p w14:paraId="1888F7E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ED4233">
      <w:pPr>
        <w:spacing w:line="640" w:lineRule="exact"/>
        <w:ind w:firstLine="640"/>
        <w:jc w:val="both"/>
        <w:outlineLvl w:val="2"/>
      </w:pPr>
      <w:r>
        <w:rPr>
          <w:rFonts w:ascii="黑体" w:hAnsi="黑体" w:eastAsia="黑体"/>
          <w:sz w:val="32"/>
        </w:rPr>
        <w:t>八、国有资本经营预算财政拨款收入支出决算情况说明</w:t>
      </w:r>
    </w:p>
    <w:p w14:paraId="3A6D09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53490A">
      <w:pPr>
        <w:spacing w:line="640" w:lineRule="exact"/>
        <w:ind w:firstLine="640"/>
        <w:jc w:val="both"/>
        <w:outlineLvl w:val="2"/>
      </w:pPr>
      <w:r>
        <w:rPr>
          <w:rFonts w:ascii="黑体" w:hAnsi="黑体" w:eastAsia="黑体"/>
          <w:sz w:val="32"/>
        </w:rPr>
        <w:t>九、财政拨款“三公”经费支出决算情况说明</w:t>
      </w:r>
    </w:p>
    <w:p w14:paraId="67FDCA39">
      <w:pPr>
        <w:spacing w:line="580" w:lineRule="exact"/>
        <w:ind w:firstLine="640"/>
        <w:jc w:val="both"/>
      </w:pPr>
      <w:r>
        <w:rPr>
          <w:rFonts w:ascii="仿宋_GB2312" w:hAnsi="仿宋_GB2312" w:eastAsia="仿宋_GB2312"/>
          <w:b/>
          <w:sz w:val="32"/>
        </w:rPr>
        <w:t>2025年度财政拨款“三公”经费支出43.58万元，</w:t>
      </w:r>
      <w:r>
        <w:rPr>
          <w:rFonts w:ascii="仿宋_GB2312" w:hAnsi="仿宋_GB2312" w:eastAsia="仿宋_GB2312"/>
          <w:b w:val="0"/>
          <w:sz w:val="32"/>
        </w:rPr>
        <w:t>比上年减少0.03万元，下降0.07%，主要原因是：严格落实中央八项规定精神，厉行节约，减少公务接待费。其中：因公出国（境）费用支出0.00万元，占0.00%，比上年增加0.00万元，增长0.00%，主要原因是：2024年与2025年均无因公出国（境）费用支出。公务用车购置及运行维护费支出40.00万元，占91.79%，比上年增加0.00万元，增长0.00%，主要原因是：本单位公务用车购置及运行维护费与上年一致无变化。公务接待费支出3.58万元，占8.21%，比上年减少0.03万元，下降0.83%，主要原因是：严格落实中央八项规定精神，厉行节约，减少公务接待费。</w:t>
      </w:r>
    </w:p>
    <w:p w14:paraId="6A44DEB0">
      <w:pPr>
        <w:spacing w:line="580" w:lineRule="exact"/>
        <w:ind w:firstLine="640"/>
        <w:jc w:val="both"/>
      </w:pPr>
      <w:r>
        <w:rPr>
          <w:rFonts w:ascii="仿宋_GB2312" w:hAnsi="仿宋_GB2312" w:eastAsia="仿宋_GB2312"/>
          <w:b/>
          <w:sz w:val="32"/>
        </w:rPr>
        <w:t>具体情况如下：</w:t>
      </w:r>
    </w:p>
    <w:p w14:paraId="3D81FFA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F3408DA">
      <w:pPr>
        <w:spacing w:line="580" w:lineRule="exact"/>
        <w:ind w:firstLine="640"/>
        <w:jc w:val="both"/>
      </w:pPr>
      <w:r>
        <w:rPr>
          <w:rFonts w:ascii="仿宋_GB2312" w:hAnsi="仿宋_GB2312" w:eastAsia="仿宋_GB2312"/>
          <w:b w:val="0"/>
          <w:sz w:val="32"/>
        </w:rPr>
        <w:t>公务用车购置及运行维护费40.00万元，其中：公务用车购置费13.26万元，公务用车运行维护费26.74万元。公务用车运行维护费开支内容包括车辆加油费、维修费、保险费、审车费、过路费等。公务用车购置数2辆，公务用车保有量20辆。国有资产占用情况中固定资产车辆20辆，与公务用车保有量差异原因是：本单位公务用车保有量与固定资产车辆一致无差异。</w:t>
      </w:r>
    </w:p>
    <w:p w14:paraId="53DF9C91">
      <w:pPr>
        <w:spacing w:line="580" w:lineRule="exact"/>
        <w:ind w:firstLine="640"/>
        <w:jc w:val="both"/>
      </w:pPr>
      <w:r>
        <w:rPr>
          <w:rFonts w:ascii="仿宋_GB2312" w:hAnsi="仿宋_GB2312" w:eastAsia="仿宋_GB2312"/>
          <w:b w:val="0"/>
          <w:sz w:val="32"/>
        </w:rPr>
        <w:t>公务接待费3.58万元，开支内容包括接待上级党政机关（部门）、兄弟院校、校企合作单位、专家学者等来访人员餐费。单位全年安排的国内公务接待38批次，213人次。</w:t>
      </w:r>
    </w:p>
    <w:p w14:paraId="45773AF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43.58万元，决算数43.58万元，预决算差异率0.00%，主要原因是：严格按照预算执行，预决算无差异。其中：因公出国（境）费用全年预算数0.00万元，决算数0.00万元，预决算差异率0.00%，主要原因是：本单位无因公出国（境）费用。公务用车购置费全年预算数13.26万元，决算数13.26万元，预决算差异率0.00%，主要原因是：严格按照预算执行，预决算无差异。公务用车运行维护费全年预算数26.74万元，决算数26.74万元，预决算差异率0.00%，主要原因是：严格按照预算执行，预决算无差异。公务接待费全年预算数3.58万元，决算数3.58万元，预决算差异率0.00%，主要原因是：严格按照预算执行，预决算无差异。</w:t>
      </w:r>
    </w:p>
    <w:p w14:paraId="6C7034E7">
      <w:pPr>
        <w:spacing w:line="640" w:lineRule="exact"/>
        <w:ind w:firstLine="640"/>
        <w:jc w:val="both"/>
        <w:outlineLvl w:val="2"/>
      </w:pPr>
      <w:r>
        <w:rPr>
          <w:rFonts w:ascii="黑体" w:hAnsi="黑体" w:eastAsia="黑体"/>
          <w:sz w:val="32"/>
        </w:rPr>
        <w:t>十、其他重要事项的情况说明</w:t>
      </w:r>
    </w:p>
    <w:p w14:paraId="07B855CB">
      <w:pPr>
        <w:spacing w:line="640" w:lineRule="exact"/>
        <w:ind w:firstLine="640"/>
        <w:jc w:val="both"/>
        <w:outlineLvl w:val="3"/>
      </w:pPr>
      <w:r>
        <w:rPr>
          <w:rFonts w:ascii="楷体_GB2312" w:hAnsi="楷体_GB2312" w:eastAsia="楷体_GB2312"/>
          <w:b/>
          <w:sz w:val="32"/>
        </w:rPr>
        <w:t>（一）机关运行经费及公用经费支出情况</w:t>
      </w:r>
    </w:p>
    <w:p w14:paraId="7E693E88">
      <w:pPr>
        <w:spacing w:line="580" w:lineRule="exact"/>
        <w:ind w:firstLine="640"/>
        <w:jc w:val="both"/>
      </w:pPr>
      <w:r>
        <w:rPr>
          <w:rFonts w:ascii="仿宋_GB2312" w:hAnsi="仿宋_GB2312" w:eastAsia="仿宋_GB2312"/>
          <w:b w:val="0"/>
          <w:sz w:val="32"/>
        </w:rPr>
        <w:t>2025年度昌吉学院（事业单位）公用经费支出6,760.99万元，比上年增加377.70万元，增长5.92%，主要原因是：2024年9月投入使用的四栋学生宿舍楼及2025年投入使用的新建学生食堂导致本年度水费、电费、暖气费增加，公用经费较上年增加。</w:t>
      </w:r>
    </w:p>
    <w:p w14:paraId="5A2F1626">
      <w:pPr>
        <w:spacing w:line="640" w:lineRule="exact"/>
        <w:ind w:firstLine="640"/>
        <w:jc w:val="both"/>
        <w:outlineLvl w:val="3"/>
      </w:pPr>
      <w:r>
        <w:rPr>
          <w:rFonts w:ascii="楷体_GB2312" w:hAnsi="楷体_GB2312" w:eastAsia="楷体_GB2312"/>
          <w:b/>
          <w:sz w:val="32"/>
        </w:rPr>
        <w:t>（二）政府采购情况</w:t>
      </w:r>
    </w:p>
    <w:p w14:paraId="355C6DD7">
      <w:pPr>
        <w:spacing w:line="580" w:lineRule="exact"/>
        <w:ind w:firstLine="640"/>
        <w:jc w:val="both"/>
      </w:pPr>
      <w:r>
        <w:rPr>
          <w:rFonts w:ascii="仿宋_GB2312" w:hAnsi="仿宋_GB2312" w:eastAsia="仿宋_GB2312"/>
          <w:b w:val="0"/>
          <w:sz w:val="32"/>
        </w:rPr>
        <w:t>2025年度政府采购支出总额3,832.12万元，其中：政府采购货物支出2,930.29万元、政府采购工程支出273.40万元、政府采购服务支出628.43万元。</w:t>
      </w:r>
    </w:p>
    <w:p w14:paraId="4AEA98A3">
      <w:pPr>
        <w:spacing w:line="580" w:lineRule="exact"/>
        <w:ind w:firstLine="640"/>
        <w:jc w:val="both"/>
      </w:pPr>
      <w:r>
        <w:rPr>
          <w:rFonts w:ascii="仿宋_GB2312" w:hAnsi="仿宋_GB2312" w:eastAsia="仿宋_GB2312"/>
          <w:b w:val="0"/>
          <w:sz w:val="32"/>
        </w:rPr>
        <w:t>授予中小企业合同金额3,710.20万元，占政府采购支出总额的96.82%，其中：授予小微企业合同金额3,710.20万元，占政府采购支出总额的96.82%。</w:t>
      </w:r>
    </w:p>
    <w:p w14:paraId="43EFAA28">
      <w:pPr>
        <w:spacing w:line="640" w:lineRule="exact"/>
        <w:ind w:firstLine="640"/>
        <w:jc w:val="both"/>
        <w:outlineLvl w:val="3"/>
      </w:pPr>
      <w:r>
        <w:rPr>
          <w:rFonts w:ascii="楷体_GB2312" w:hAnsi="楷体_GB2312" w:eastAsia="楷体_GB2312"/>
          <w:b/>
          <w:sz w:val="32"/>
        </w:rPr>
        <w:t>（三）国有资产占用情况说明</w:t>
      </w:r>
    </w:p>
    <w:p w14:paraId="529BCF1E">
      <w:pPr>
        <w:spacing w:line="580" w:lineRule="exact"/>
        <w:ind w:firstLine="640"/>
        <w:jc w:val="both"/>
      </w:pPr>
      <w:r>
        <w:rPr>
          <w:rFonts w:ascii="仿宋_GB2312" w:hAnsi="仿宋_GB2312" w:eastAsia="仿宋_GB2312"/>
          <w:b w:val="0"/>
          <w:sz w:val="32"/>
        </w:rPr>
        <w:t>截至2025年12月31日，房屋275,788.06平方米，价值53,540.23万元。车辆20辆，价值355.15万元，其中：副部（省）级及以上领导用车0辆、主要负责人用车9辆、机要通信用车0辆、应急保障用车0辆、执法执勤用车0辆、特种专业技术用车0辆、离退休干部服务用车1辆、其他用车10辆，其他用车主要是：一般公务用车。单价100万元（含）以上设备（不含车辆）15台（套）。</w:t>
      </w:r>
    </w:p>
    <w:p w14:paraId="360B3A49">
      <w:pPr>
        <w:spacing w:line="640" w:lineRule="exact"/>
        <w:ind w:firstLine="640"/>
        <w:jc w:val="both"/>
        <w:outlineLvl w:val="2"/>
      </w:pPr>
      <w:r>
        <w:rPr>
          <w:rFonts w:ascii="黑体" w:hAnsi="黑体" w:eastAsia="黑体"/>
          <w:sz w:val="32"/>
        </w:rPr>
        <w:t>十一、预算绩效的情况说明</w:t>
      </w:r>
    </w:p>
    <w:p w14:paraId="06C73CC5">
      <w:pPr>
        <w:spacing w:line="580" w:lineRule="exact"/>
        <w:ind w:firstLine="640"/>
        <w:jc w:val="both"/>
      </w:pPr>
      <w:r>
        <w:rPr>
          <w:rFonts w:ascii="仿宋_GB2312" w:hAnsi="仿宋_GB2312" w:eastAsia="仿宋_GB2312"/>
          <w:b w:val="0"/>
          <w:sz w:val="32"/>
        </w:rPr>
        <w:t>根据预算绩效管理要求，本单位预算绩效评价项目1个，全年预算数21,275.00万元，全年执行数11,592.37万元。预算绩效管理取得的成效：一是通过绩效管理，牢固树立了绩效意识，在项目实施中实行绩效运行监控，全面开展绩效评价，进一步提升了财政资金使用效益；二是按照预算公开要求，主动接受监督，有效防控财政风险。发现的问题及原因：一是基本建设项目预算编制还不够科学准确，缺乏详细调研和科学测算，对影响项目工程进度的因素考虑不够全面，导致项目绩效目标编制不科学，绩效评价</w:t>
      </w:r>
      <w:r>
        <w:rPr>
          <w:rFonts w:hint="eastAsia" w:ascii="仿宋_GB2312" w:hAnsi="仿宋_GB2312" w:eastAsia="仿宋_GB2312"/>
          <w:b w:val="0"/>
          <w:sz w:val="32"/>
          <w:lang w:eastAsia="zh-CN"/>
        </w:rPr>
        <w:t>未能</w:t>
      </w:r>
      <w:r>
        <w:rPr>
          <w:rFonts w:ascii="仿宋_GB2312" w:hAnsi="仿宋_GB2312" w:eastAsia="仿宋_GB2312"/>
          <w:b w:val="0"/>
          <w:sz w:val="32"/>
        </w:rPr>
        <w:t>达到预期；二是预算执行过程中财务部门和资金归口管理部门责任划分不够清晰，在推进预算执行进度工作中效率不高。下一步改进措施：一是加强预算项目申报前的科学论证环节，合理编制预算和预算绩效目标；二是完善预算管理相关制度建设，提高预算管理水平，推动建立权责清晰、财力协调、完善全面、标准科学、规范透明、约束有力的预算管理制度。具体附项目支出绩效自评表。</w:t>
      </w:r>
    </w:p>
    <w:p w14:paraId="2001E572">
      <w:r>
        <w:br w:type="page"/>
      </w:r>
    </w:p>
    <w:p w14:paraId="3270B53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0FBE4D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E5B12E">
            <w:pPr>
              <w:spacing w:before="0" w:after="0" w:line="240" w:lineRule="auto"/>
              <w:jc w:val="center"/>
            </w:pPr>
            <w:r>
              <w:rPr>
                <w:rFonts w:ascii="宋体" w:hAnsi="宋体" w:eastAsia="宋体"/>
                <w:b/>
                <w:i w:val="0"/>
                <w:sz w:val="32"/>
              </w:rPr>
              <w:t>项目支出绩效自评表</w:t>
            </w:r>
          </w:p>
        </w:tc>
      </w:tr>
      <w:tr w14:paraId="6F430BE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7185BE">
            <w:pPr>
              <w:spacing w:before="0" w:after="0" w:line="240" w:lineRule="auto"/>
              <w:jc w:val="center"/>
            </w:pPr>
            <w:r>
              <w:rPr>
                <w:rFonts w:ascii="宋体" w:hAnsi="宋体" w:eastAsia="宋体"/>
                <w:b w:val="0"/>
                <w:i w:val="0"/>
                <w:sz w:val="22"/>
              </w:rPr>
              <w:t>(2025年度)</w:t>
            </w:r>
          </w:p>
        </w:tc>
      </w:tr>
      <w:tr w14:paraId="77097BA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80B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EA397C6">
            <w:pPr>
              <w:spacing w:before="0" w:after="0" w:line="240" w:lineRule="auto"/>
              <w:jc w:val="center"/>
            </w:pPr>
            <w:r>
              <w:rPr>
                <w:rFonts w:ascii="宋体" w:hAnsi="宋体" w:eastAsia="宋体"/>
                <w:b w:val="0"/>
                <w:i w:val="0"/>
                <w:sz w:val="18"/>
              </w:rPr>
              <w:t>昌吉学院2025年非财政拨款项目</w:t>
            </w:r>
          </w:p>
        </w:tc>
      </w:tr>
      <w:tr w14:paraId="19BA3F3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330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D9A38E">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F691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B7EC0">
            <w:pPr>
              <w:spacing w:before="0" w:after="0" w:line="240" w:lineRule="auto"/>
              <w:jc w:val="center"/>
            </w:pPr>
            <w:r>
              <w:rPr>
                <w:rFonts w:ascii="宋体" w:hAnsi="宋体" w:eastAsia="宋体"/>
                <w:b w:val="0"/>
                <w:i w:val="0"/>
                <w:sz w:val="18"/>
              </w:rPr>
              <w:t>昌吉学院</w:t>
            </w:r>
          </w:p>
        </w:tc>
      </w:tr>
      <w:tr w14:paraId="36C1141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21AB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848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C720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86D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E24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65C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280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E5B9D">
            <w:pPr>
              <w:spacing w:before="0" w:after="0" w:line="240" w:lineRule="auto"/>
              <w:jc w:val="center"/>
            </w:pPr>
            <w:r>
              <w:rPr>
                <w:rFonts w:ascii="宋体" w:hAnsi="宋体" w:eastAsia="宋体"/>
                <w:b/>
                <w:i w:val="0"/>
                <w:sz w:val="18"/>
              </w:rPr>
              <w:t>得分</w:t>
            </w:r>
          </w:p>
        </w:tc>
      </w:tr>
      <w:tr w14:paraId="57E2C4F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5B06B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7898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41C16">
            <w:pPr>
              <w:spacing w:before="0" w:after="0" w:line="240" w:lineRule="auto"/>
              <w:jc w:val="center"/>
            </w:pPr>
            <w:r>
              <w:rPr>
                <w:rFonts w:ascii="宋体" w:hAnsi="宋体" w:eastAsia="宋体"/>
                <w:b w:val="0"/>
                <w:i w:val="0"/>
                <w:sz w:val="18"/>
              </w:rPr>
              <w:t>21,275.00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C969">
            <w:pPr>
              <w:spacing w:before="0" w:after="0" w:line="240" w:lineRule="auto"/>
              <w:jc w:val="center"/>
            </w:pPr>
            <w:r>
              <w:rPr>
                <w:rFonts w:ascii="宋体" w:hAnsi="宋体" w:eastAsia="宋体"/>
                <w:b w:val="0"/>
                <w:i w:val="0"/>
                <w:sz w:val="18"/>
              </w:rPr>
              <w:t>21,275.00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98BE1">
            <w:pPr>
              <w:spacing w:before="0" w:after="0" w:line="240" w:lineRule="auto"/>
              <w:jc w:val="center"/>
            </w:pPr>
            <w:r>
              <w:rPr>
                <w:rFonts w:ascii="宋体" w:hAnsi="宋体" w:eastAsia="宋体"/>
                <w:b w:val="0"/>
                <w:i w:val="0"/>
                <w:sz w:val="18"/>
              </w:rPr>
              <w:t>11,592.37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5AF6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3EE04">
            <w:pPr>
              <w:spacing w:before="0" w:after="0" w:line="240" w:lineRule="auto"/>
              <w:jc w:val="center"/>
            </w:pPr>
            <w:r>
              <w:rPr>
                <w:rFonts w:ascii="宋体" w:hAnsi="宋体" w:eastAsia="宋体"/>
                <w:b w:val="0"/>
                <w:i w:val="0"/>
                <w:sz w:val="18"/>
              </w:rPr>
              <w:t>54.49%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99B1E">
            <w:pPr>
              <w:spacing w:before="0" w:after="0" w:line="240" w:lineRule="auto"/>
              <w:jc w:val="center"/>
            </w:pPr>
            <w:r>
              <w:rPr>
                <w:rFonts w:ascii="宋体" w:hAnsi="宋体" w:eastAsia="宋体"/>
                <w:b w:val="0"/>
                <w:i w:val="0"/>
                <w:sz w:val="18"/>
              </w:rPr>
              <w:t>0.00</w:t>
            </w:r>
          </w:p>
        </w:tc>
      </w:tr>
      <w:tr w14:paraId="2339E77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CFCEA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F00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A3BD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97D1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4939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2780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E41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4244A">
            <w:pPr>
              <w:spacing w:before="0" w:after="0" w:line="240" w:lineRule="auto"/>
              <w:jc w:val="center"/>
            </w:pPr>
            <w:r>
              <w:rPr>
                <w:rFonts w:ascii="宋体" w:hAnsi="宋体" w:eastAsia="宋体"/>
                <w:b w:val="0"/>
                <w:i w:val="0"/>
                <w:sz w:val="18"/>
              </w:rPr>
              <w:t>—</w:t>
            </w:r>
          </w:p>
        </w:tc>
      </w:tr>
      <w:tr w14:paraId="0C7F1D8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E6EDB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D04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951FE">
            <w:pPr>
              <w:spacing w:before="0" w:after="0" w:line="240" w:lineRule="auto"/>
              <w:jc w:val="center"/>
            </w:pPr>
            <w:r>
              <w:rPr>
                <w:rFonts w:ascii="宋体" w:hAnsi="宋体" w:eastAsia="宋体"/>
                <w:b w:val="0"/>
                <w:i w:val="0"/>
                <w:sz w:val="18"/>
              </w:rPr>
              <w:t>21,275.00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9662">
            <w:pPr>
              <w:spacing w:before="0" w:after="0" w:line="240" w:lineRule="auto"/>
              <w:jc w:val="center"/>
            </w:pPr>
            <w:r>
              <w:rPr>
                <w:rFonts w:ascii="宋体" w:hAnsi="宋体" w:eastAsia="宋体"/>
                <w:b w:val="0"/>
                <w:i w:val="0"/>
                <w:sz w:val="18"/>
              </w:rPr>
              <w:t>21,275.00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04572">
            <w:pPr>
              <w:spacing w:before="0" w:after="0" w:line="240" w:lineRule="auto"/>
              <w:jc w:val="center"/>
            </w:pPr>
            <w:r>
              <w:rPr>
                <w:rFonts w:ascii="宋体" w:hAnsi="宋体" w:eastAsia="宋体"/>
                <w:b w:val="0"/>
                <w:i w:val="0"/>
                <w:sz w:val="18"/>
              </w:rPr>
              <w:t>11,592.37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446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C61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79687">
            <w:pPr>
              <w:spacing w:before="0" w:after="0" w:line="240" w:lineRule="auto"/>
              <w:jc w:val="center"/>
            </w:pPr>
            <w:r>
              <w:rPr>
                <w:rFonts w:ascii="宋体" w:hAnsi="宋体" w:eastAsia="宋体"/>
                <w:b w:val="0"/>
                <w:i w:val="0"/>
                <w:sz w:val="18"/>
              </w:rPr>
              <w:t>—</w:t>
            </w:r>
          </w:p>
        </w:tc>
      </w:tr>
      <w:tr w14:paraId="3418FFC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54EE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ECB79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30C4A">
            <w:pPr>
              <w:spacing w:before="0" w:after="0" w:line="240" w:lineRule="auto"/>
              <w:jc w:val="center"/>
            </w:pPr>
            <w:r>
              <w:rPr>
                <w:rFonts w:ascii="宋体" w:hAnsi="宋体" w:eastAsia="宋体"/>
                <w:b/>
                <w:i w:val="0"/>
                <w:sz w:val="18"/>
              </w:rPr>
              <w:t>实际完成情况</w:t>
            </w:r>
          </w:p>
        </w:tc>
      </w:tr>
      <w:tr w14:paraId="6BC9F21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AC187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BAB109">
            <w:pPr>
              <w:spacing w:before="0" w:after="0" w:line="240" w:lineRule="auto"/>
              <w:jc w:val="center"/>
            </w:pPr>
            <w:r>
              <w:rPr>
                <w:rFonts w:ascii="宋体" w:hAnsi="宋体" w:eastAsia="宋体"/>
                <w:b w:val="0"/>
                <w:i w:val="0"/>
                <w:sz w:val="18"/>
              </w:rPr>
              <w:t>用于学校2025年助学金及伙食补助配套、设备购置、银行还本付息、校园基本建设、教学科研业务费等重点工作，保障学校教育事业正常发展。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8D300">
            <w:pPr>
              <w:spacing w:before="0" w:after="0" w:line="240" w:lineRule="auto"/>
              <w:jc w:val="center"/>
            </w:pPr>
            <w:r>
              <w:rPr>
                <w:rFonts w:ascii="宋体" w:hAnsi="宋体" w:eastAsia="宋体"/>
                <w:b w:val="0"/>
                <w:i w:val="0"/>
                <w:sz w:val="18"/>
              </w:rPr>
              <w:t>用于学校2025年助学金及伙食补助配套、设备购置、银行还本付息、校园基本建设、教学科研业务费等重点工作，保障学校教育事业正常发展。</w:t>
            </w:r>
          </w:p>
        </w:tc>
      </w:tr>
      <w:tr w14:paraId="13F4022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F4CA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DA04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E1018">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5635D">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7A63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DB26F">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CFE4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F4D1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26A84">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EEB56">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C4BFD">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A7E64">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A368D">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976C4">
            <w:pPr>
              <w:keepNext/>
              <w:spacing w:before="0" w:after="0" w:line="240" w:lineRule="auto"/>
              <w:jc w:val="center"/>
            </w:pPr>
            <w:r>
              <w:rPr>
                <w:rFonts w:ascii="宋体" w:hAnsi="宋体" w:eastAsia="宋体"/>
                <w:b/>
                <w:i w:val="0"/>
                <w:sz w:val="18"/>
              </w:rPr>
              <w:t>偏差原因分析及改进措施</w:t>
            </w:r>
          </w:p>
        </w:tc>
      </w:tr>
      <w:tr w14:paraId="1EC5560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6F9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394D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7534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A3AA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41B5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DF81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30C9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3CA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12E9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E6B7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252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1227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38EF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30DC9B"/>
        </w:tc>
      </w:tr>
      <w:tr w14:paraId="19334BA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091E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F785C">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D3FF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A21F4">
            <w:pPr>
              <w:keepNext/>
              <w:spacing w:before="0" w:after="0" w:line="240" w:lineRule="auto"/>
              <w:jc w:val="center"/>
            </w:pPr>
            <w:r>
              <w:rPr>
                <w:rFonts w:ascii="宋体" w:hAnsi="宋体" w:eastAsia="宋体"/>
                <w:b w:val="0"/>
                <w:i w:val="0"/>
                <w:sz w:val="18"/>
              </w:rPr>
              <w:t>支持建设楼栋数量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16E45">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E12F">
            <w:pPr>
              <w:keepNext/>
              <w:spacing w:before="0" w:after="0" w:line="240" w:lineRule="auto"/>
              <w:jc w:val="center"/>
            </w:pPr>
            <w:r>
              <w:rPr>
                <w:rFonts w:ascii="宋体" w:hAnsi="宋体" w:eastAsia="宋体"/>
                <w:b w:val="0"/>
                <w:i w:val="0"/>
                <w:sz w:val="18"/>
              </w:rPr>
              <w:t>&gt;=3栋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CA692">
            <w:pPr>
              <w:keepNext/>
              <w:spacing w:before="0" w:after="0" w:line="240" w:lineRule="auto"/>
              <w:jc w:val="center"/>
            </w:pPr>
            <w:r>
              <w:rPr>
                <w:rFonts w:ascii="宋体" w:hAnsi="宋体" w:eastAsia="宋体"/>
                <w:b w:val="0"/>
                <w:i w:val="0"/>
                <w:sz w:val="18"/>
              </w:rPr>
              <w:t>=3栋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BF04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42601">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01F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9E62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2D59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FC6CB">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6CF12">
            <w:pPr>
              <w:keepNext/>
              <w:spacing w:before="0" w:after="0" w:line="240" w:lineRule="auto"/>
              <w:jc w:val="center"/>
            </w:pPr>
          </w:p>
        </w:tc>
      </w:tr>
      <w:tr w14:paraId="62D98AC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E1AF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86E82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194D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4FF2E">
            <w:pPr>
              <w:keepNext/>
              <w:spacing w:before="0" w:after="0" w:line="240" w:lineRule="auto"/>
              <w:jc w:val="center"/>
            </w:pPr>
            <w:r>
              <w:rPr>
                <w:rFonts w:ascii="宋体" w:hAnsi="宋体" w:eastAsia="宋体"/>
                <w:b w:val="0"/>
                <w:i w:val="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56171">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CA790">
            <w:pPr>
              <w:keepNext/>
              <w:spacing w:before="0" w:after="0" w:line="240" w:lineRule="auto"/>
              <w:jc w:val="center"/>
            </w:pPr>
            <w:r>
              <w:rPr>
                <w:rFonts w:ascii="宋体" w:hAnsi="宋体" w:eastAsia="宋体"/>
                <w:b w:val="0"/>
                <w:i w:val="0"/>
                <w:sz w:val="18"/>
              </w:rPr>
              <w:t>&gt;=20套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F8FE4">
            <w:pPr>
              <w:keepNext/>
              <w:spacing w:before="0" w:after="0" w:line="240" w:lineRule="auto"/>
              <w:jc w:val="center"/>
            </w:pPr>
            <w:r>
              <w:rPr>
                <w:rFonts w:ascii="宋体" w:hAnsi="宋体" w:eastAsia="宋体"/>
                <w:b w:val="0"/>
                <w:i w:val="0"/>
                <w:sz w:val="18"/>
              </w:rPr>
              <w:t>=20套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97BA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3FCC9">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7F88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AE13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5C26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5017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10A16">
            <w:pPr>
              <w:keepNext/>
              <w:spacing w:before="0" w:after="0" w:line="240" w:lineRule="auto"/>
              <w:jc w:val="center"/>
            </w:pPr>
          </w:p>
        </w:tc>
      </w:tr>
      <w:tr w14:paraId="1F1E76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97400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77F24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F070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83E06">
            <w:pPr>
              <w:keepNext/>
              <w:spacing w:before="0" w:after="0" w:line="240" w:lineRule="auto"/>
              <w:jc w:val="center"/>
            </w:pPr>
            <w:r>
              <w:rPr>
                <w:rFonts w:ascii="宋体" w:hAnsi="宋体" w:eastAsia="宋体"/>
                <w:b w:val="0"/>
                <w:i w:val="0"/>
                <w:sz w:val="18"/>
              </w:rPr>
              <w:t>支持科研项目数量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F48A3">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8981E">
            <w:pPr>
              <w:keepNext/>
              <w:spacing w:before="0" w:after="0" w:line="240" w:lineRule="auto"/>
              <w:jc w:val="center"/>
            </w:pPr>
            <w:r>
              <w:rPr>
                <w:rFonts w:ascii="宋体" w:hAnsi="宋体" w:eastAsia="宋体"/>
                <w:b w:val="0"/>
                <w:i w:val="0"/>
                <w:sz w:val="18"/>
              </w:rPr>
              <w:t>&gt;=50项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E2593">
            <w:pPr>
              <w:keepNext/>
              <w:spacing w:before="0" w:after="0" w:line="240" w:lineRule="auto"/>
              <w:jc w:val="center"/>
            </w:pPr>
            <w:r>
              <w:rPr>
                <w:rFonts w:ascii="宋体" w:hAnsi="宋体" w:eastAsia="宋体"/>
                <w:b w:val="0"/>
                <w:i w:val="0"/>
                <w:sz w:val="18"/>
              </w:rPr>
              <w:t>=78项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9F22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1EE65">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92A3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2D43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5124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27C3A">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6C154">
            <w:pPr>
              <w:keepNext/>
              <w:spacing w:before="0" w:after="0" w:line="240" w:lineRule="auto"/>
              <w:jc w:val="center"/>
            </w:pPr>
          </w:p>
        </w:tc>
      </w:tr>
      <w:tr w14:paraId="790C96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D9092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AD650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0679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0FBDE">
            <w:pPr>
              <w:keepNext/>
              <w:spacing w:before="0" w:after="0" w:line="240" w:lineRule="auto"/>
              <w:jc w:val="center"/>
            </w:pPr>
            <w:r>
              <w:rPr>
                <w:rFonts w:ascii="宋体" w:hAnsi="宋体" w:eastAsia="宋体"/>
                <w:b w:val="0"/>
                <w:i w:val="0"/>
                <w:sz w:val="18"/>
              </w:rPr>
              <w:t>资助勤工助学岗位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A769A">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DE241">
            <w:pPr>
              <w:keepNext/>
              <w:spacing w:before="0" w:after="0" w:line="240" w:lineRule="auto"/>
              <w:jc w:val="center"/>
            </w:pPr>
            <w:r>
              <w:rPr>
                <w:rFonts w:ascii="宋体" w:hAnsi="宋体" w:eastAsia="宋体"/>
                <w:b w:val="0"/>
                <w:i w:val="0"/>
                <w:sz w:val="18"/>
              </w:rPr>
              <w:t>&gt;=200个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C3BD6">
            <w:pPr>
              <w:keepNext/>
              <w:spacing w:before="0" w:after="0" w:line="240" w:lineRule="auto"/>
              <w:jc w:val="center"/>
            </w:pPr>
            <w:r>
              <w:rPr>
                <w:rFonts w:ascii="宋体" w:hAnsi="宋体" w:eastAsia="宋体"/>
                <w:b w:val="0"/>
                <w:i w:val="0"/>
                <w:sz w:val="18"/>
              </w:rPr>
              <w:t>=216个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B8E8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163C2">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FA6B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DA39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9277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8B95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7F003">
            <w:pPr>
              <w:keepNext/>
              <w:spacing w:before="0" w:after="0" w:line="240" w:lineRule="auto"/>
              <w:jc w:val="center"/>
            </w:pPr>
          </w:p>
        </w:tc>
      </w:tr>
      <w:tr w14:paraId="726AC7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D2D6B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4C9C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C0BB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21E1C">
            <w:pPr>
              <w:keepNext/>
              <w:spacing w:before="0" w:after="0" w:line="240" w:lineRule="auto"/>
              <w:jc w:val="center"/>
            </w:pPr>
            <w:r>
              <w:rPr>
                <w:rFonts w:ascii="宋体" w:hAnsi="宋体" w:eastAsia="宋体"/>
                <w:b w:val="0"/>
                <w:i w:val="0"/>
                <w:sz w:val="18"/>
              </w:rPr>
              <w:t>还本付息次数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C6134">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55B54">
            <w:pPr>
              <w:keepNext/>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43746">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1E4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70BFE">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2D03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2E4A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C97F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CD07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AF9C4">
            <w:pPr>
              <w:keepNext/>
              <w:spacing w:before="0" w:after="0" w:line="240" w:lineRule="auto"/>
              <w:jc w:val="center"/>
            </w:pPr>
          </w:p>
        </w:tc>
      </w:tr>
      <w:tr w14:paraId="7BDC2B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C0A03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C6DFD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2847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2F803">
            <w:pPr>
              <w:keepNext/>
              <w:spacing w:before="0" w:after="0" w:line="240" w:lineRule="auto"/>
              <w:jc w:val="center"/>
            </w:pPr>
            <w:r>
              <w:rPr>
                <w:rFonts w:ascii="宋体" w:hAnsi="宋体" w:eastAsia="宋体"/>
                <w:b w:val="0"/>
                <w:i w:val="0"/>
                <w:sz w:val="18"/>
              </w:rPr>
              <w:t>伙食补助配套补助学生人数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26895">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AAE77">
            <w:pPr>
              <w:keepNext/>
              <w:spacing w:before="0" w:after="0" w:line="240" w:lineRule="auto"/>
              <w:jc w:val="center"/>
            </w:pPr>
            <w:r>
              <w:rPr>
                <w:rFonts w:ascii="宋体" w:hAnsi="宋体" w:eastAsia="宋体"/>
                <w:b w:val="0"/>
                <w:i w:val="0"/>
                <w:sz w:val="18"/>
              </w:rPr>
              <w:t>&gt;=28000人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D7A1D">
            <w:pPr>
              <w:keepNext/>
              <w:spacing w:before="0" w:after="0" w:line="240" w:lineRule="auto"/>
              <w:jc w:val="center"/>
            </w:pPr>
            <w:r>
              <w:rPr>
                <w:rFonts w:ascii="宋体" w:hAnsi="宋体" w:eastAsia="宋体"/>
                <w:b w:val="0"/>
                <w:i w:val="0"/>
                <w:sz w:val="18"/>
              </w:rPr>
              <w:t>=28000人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99E3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69D64">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46AD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BEEE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F734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CCD3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D6922">
            <w:pPr>
              <w:keepNext/>
              <w:spacing w:before="0" w:after="0" w:line="240" w:lineRule="auto"/>
              <w:jc w:val="center"/>
            </w:pPr>
          </w:p>
        </w:tc>
      </w:tr>
      <w:tr w14:paraId="0D4A95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5DA2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1075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2F01B">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7FC9D">
            <w:pPr>
              <w:keepNext/>
              <w:spacing w:before="0" w:after="0" w:line="240" w:lineRule="auto"/>
              <w:jc w:val="center"/>
            </w:pPr>
            <w:r>
              <w:rPr>
                <w:rFonts w:ascii="宋体" w:hAnsi="宋体" w:eastAsia="宋体"/>
                <w:b w:val="0"/>
                <w:i w:val="0"/>
                <w:sz w:val="18"/>
              </w:rPr>
              <w:t>科研项目结题达标率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AEA43">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1FD6E">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43D3D">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7088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2DE26">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6E97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8BBB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1427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7E58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50E70">
            <w:pPr>
              <w:keepNext/>
              <w:spacing w:before="0" w:after="0" w:line="240" w:lineRule="auto"/>
              <w:jc w:val="center"/>
            </w:pPr>
          </w:p>
        </w:tc>
      </w:tr>
      <w:tr w14:paraId="1B2D14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FCEE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F845E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BADDF">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DCDC9">
            <w:pPr>
              <w:keepNext/>
              <w:spacing w:before="0" w:after="0" w:line="240" w:lineRule="auto"/>
              <w:jc w:val="center"/>
            </w:pPr>
            <w:r>
              <w:rPr>
                <w:rFonts w:ascii="宋体" w:hAnsi="宋体" w:eastAsia="宋体"/>
                <w:b w:val="0"/>
                <w:i w:val="0"/>
                <w:sz w:val="18"/>
              </w:rPr>
              <w:t>购置设备验收合格率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35E67">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EBC0E">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61AB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D821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4BA05">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C349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8BE2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7052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3A83E">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B4707">
            <w:pPr>
              <w:keepNext/>
              <w:spacing w:before="0" w:after="0" w:line="240" w:lineRule="auto"/>
              <w:jc w:val="center"/>
            </w:pPr>
          </w:p>
        </w:tc>
      </w:tr>
      <w:tr w14:paraId="3FAE56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E37F0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F6B02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DADDC">
            <w:pPr>
              <w:keepNext/>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17796">
            <w:pPr>
              <w:keepNext/>
              <w:spacing w:before="0" w:after="0" w:line="240" w:lineRule="auto"/>
              <w:jc w:val="center"/>
            </w:pPr>
            <w:r>
              <w:rPr>
                <w:rFonts w:ascii="宋体" w:hAnsi="宋体" w:eastAsia="宋体"/>
                <w:b w:val="0"/>
                <w:i w:val="0"/>
                <w:sz w:val="18"/>
              </w:rPr>
              <w:t>及时完成还本付息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70628">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01B8E">
            <w:pPr>
              <w:keepNext/>
              <w:spacing w:before="0" w:after="0" w:line="240" w:lineRule="auto"/>
              <w:jc w:val="center"/>
            </w:pPr>
            <w:r>
              <w:rPr>
                <w:rFonts w:ascii="宋体" w:hAnsi="宋体" w:eastAsia="宋体"/>
                <w:b w:val="0"/>
                <w:i w:val="0"/>
                <w:sz w:val="18"/>
              </w:rPr>
              <w:t>2025年8月20日前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815BA">
            <w:pPr>
              <w:keepNext/>
              <w:spacing w:before="0" w:after="0" w:line="240" w:lineRule="auto"/>
              <w:jc w:val="center"/>
            </w:pPr>
            <w:r>
              <w:rPr>
                <w:rFonts w:ascii="宋体" w:hAnsi="宋体" w:eastAsia="宋体"/>
                <w:b w:val="0"/>
                <w:i w:val="0"/>
                <w:sz w:val="18"/>
              </w:rPr>
              <w:t>=2025年8月20日前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8AB4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EDC5D">
            <w:pPr>
              <w:keepNext/>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F597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C955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78E95">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8F67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33FD7">
            <w:pPr>
              <w:keepNext/>
              <w:spacing w:before="0" w:after="0" w:line="240" w:lineRule="auto"/>
              <w:jc w:val="center"/>
            </w:pPr>
          </w:p>
        </w:tc>
      </w:tr>
      <w:tr w14:paraId="1A9B30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AFD0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25F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D2C0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32201">
            <w:pPr>
              <w:spacing w:before="0" w:after="0" w:line="240" w:lineRule="auto"/>
              <w:jc w:val="center"/>
            </w:pPr>
            <w:r>
              <w:rPr>
                <w:rFonts w:ascii="宋体" w:hAnsi="宋体" w:eastAsia="宋体"/>
                <w:b w:val="0"/>
                <w:i w:val="0"/>
                <w:sz w:val="18"/>
              </w:rPr>
              <w:t>及时发放勤工助学岗位助学金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AFC5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A12FB">
            <w:pPr>
              <w:spacing w:before="0" w:after="0" w:line="240" w:lineRule="auto"/>
              <w:jc w:val="center"/>
            </w:pPr>
            <w:r>
              <w:rPr>
                <w:rFonts w:ascii="宋体" w:hAnsi="宋体" w:eastAsia="宋体"/>
                <w:b w:val="0"/>
                <w:i w:val="0"/>
                <w:sz w:val="18"/>
              </w:rPr>
              <w:t>每月20日之前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86155">
            <w:pPr>
              <w:spacing w:before="0" w:after="0" w:line="240" w:lineRule="auto"/>
              <w:jc w:val="center"/>
            </w:pPr>
            <w:r>
              <w:rPr>
                <w:rFonts w:ascii="宋体" w:hAnsi="宋体" w:eastAsia="宋体"/>
                <w:b w:val="0"/>
                <w:i w:val="0"/>
                <w:sz w:val="18"/>
              </w:rPr>
              <w:t>每月20日之前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1BC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643A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327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C977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E549E">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C1DD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54C9E">
            <w:pPr>
              <w:spacing w:before="0" w:after="0" w:line="240" w:lineRule="auto"/>
              <w:jc w:val="center"/>
            </w:pPr>
          </w:p>
        </w:tc>
      </w:tr>
      <w:tr w14:paraId="2F9B5E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ACFE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29763">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0B76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E6FDF">
            <w:pPr>
              <w:keepNext/>
              <w:spacing w:before="0" w:after="0" w:line="240" w:lineRule="auto"/>
              <w:jc w:val="center"/>
            </w:pPr>
            <w:r>
              <w:rPr>
                <w:rFonts w:ascii="宋体" w:hAnsi="宋体" w:eastAsia="宋体"/>
                <w:b w:val="0"/>
                <w:i w:val="0"/>
                <w:sz w:val="18"/>
              </w:rPr>
              <w:t>勤工助学岗助学金发放标准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9A19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36836">
            <w:pPr>
              <w:keepNext/>
              <w:spacing w:before="0" w:after="0" w:line="240" w:lineRule="auto"/>
              <w:jc w:val="center"/>
            </w:pPr>
            <w:r>
              <w:rPr>
                <w:rFonts w:ascii="宋体" w:hAnsi="宋体" w:eastAsia="宋体"/>
                <w:b w:val="0"/>
                <w:i w:val="0"/>
                <w:sz w:val="18"/>
              </w:rPr>
              <w:t>=360元/月*8个月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2903A">
            <w:pPr>
              <w:keepNext/>
              <w:spacing w:before="0" w:after="0" w:line="240" w:lineRule="auto"/>
              <w:jc w:val="center"/>
            </w:pPr>
            <w:r>
              <w:rPr>
                <w:rFonts w:ascii="宋体" w:hAnsi="宋体" w:eastAsia="宋体"/>
                <w:b w:val="0"/>
                <w:i w:val="0"/>
                <w:sz w:val="18"/>
              </w:rPr>
              <w:t>=360元/月*8个月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ABC6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F5E0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A33E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0E88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3C35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0ACB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4CE4C">
            <w:pPr>
              <w:keepNext/>
              <w:spacing w:before="0" w:after="0" w:line="240" w:lineRule="auto"/>
              <w:jc w:val="center"/>
            </w:pPr>
          </w:p>
        </w:tc>
      </w:tr>
      <w:tr w14:paraId="2C513C9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624D5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7170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E4034">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18484">
            <w:pPr>
              <w:keepNext/>
              <w:spacing w:before="0" w:after="0" w:line="240" w:lineRule="auto"/>
              <w:jc w:val="center"/>
            </w:pPr>
            <w:r>
              <w:rPr>
                <w:rFonts w:ascii="宋体" w:hAnsi="宋体" w:eastAsia="宋体"/>
                <w:b w:val="0"/>
                <w:i w:val="0"/>
                <w:sz w:val="18"/>
              </w:rPr>
              <w:t>设备平均购置成本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524A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EDE85">
            <w:pPr>
              <w:keepNext/>
              <w:spacing w:before="0" w:after="0" w:line="240" w:lineRule="auto"/>
              <w:jc w:val="center"/>
            </w:pPr>
            <w:r>
              <w:rPr>
                <w:rFonts w:ascii="宋体" w:hAnsi="宋体" w:eastAsia="宋体"/>
                <w:b w:val="0"/>
                <w:i w:val="0"/>
                <w:sz w:val="18"/>
              </w:rPr>
              <w:t>&lt;=29万元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31D7C">
            <w:pPr>
              <w:keepNext/>
              <w:spacing w:before="0" w:after="0" w:line="240" w:lineRule="auto"/>
              <w:jc w:val="center"/>
            </w:pPr>
            <w:r>
              <w:rPr>
                <w:rFonts w:ascii="宋体" w:hAnsi="宋体" w:eastAsia="宋体"/>
                <w:b w:val="0"/>
                <w:i w:val="0"/>
                <w:sz w:val="18"/>
              </w:rPr>
              <w:t>=29万元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93AA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7958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5BCB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346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A84C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42CC4">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A2B33">
            <w:pPr>
              <w:keepNext/>
              <w:spacing w:before="0" w:after="0" w:line="240" w:lineRule="auto"/>
              <w:jc w:val="center"/>
            </w:pPr>
          </w:p>
        </w:tc>
      </w:tr>
      <w:tr w14:paraId="0FD9EE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B17E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14062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CEB2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01682">
            <w:pPr>
              <w:keepNext/>
              <w:spacing w:before="0" w:after="0" w:line="240" w:lineRule="auto"/>
              <w:jc w:val="center"/>
            </w:pPr>
            <w:r>
              <w:rPr>
                <w:rFonts w:ascii="宋体" w:hAnsi="宋体" w:eastAsia="宋体"/>
                <w:b w:val="0"/>
                <w:i w:val="0"/>
                <w:sz w:val="18"/>
              </w:rPr>
              <w:t>归还地方政府专项债利息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5CE3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61331">
            <w:pPr>
              <w:keepNext/>
              <w:spacing w:before="0" w:after="0" w:line="240" w:lineRule="auto"/>
              <w:jc w:val="center"/>
            </w:pPr>
            <w:r>
              <w:rPr>
                <w:rFonts w:ascii="宋体" w:hAnsi="宋体" w:eastAsia="宋体"/>
                <w:b w:val="0"/>
                <w:i w:val="0"/>
                <w:sz w:val="18"/>
              </w:rPr>
              <w:t>&lt;=50万元/次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02DE1">
            <w:pPr>
              <w:keepNext/>
              <w:spacing w:before="0" w:after="0" w:line="240" w:lineRule="auto"/>
              <w:jc w:val="center"/>
            </w:pPr>
            <w:r>
              <w:rPr>
                <w:rFonts w:ascii="宋体" w:hAnsi="宋体" w:eastAsia="宋体"/>
                <w:b w:val="0"/>
                <w:i w:val="0"/>
                <w:sz w:val="18"/>
              </w:rPr>
              <w:t>=50万元/次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4B39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0EB5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C6FB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E014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6B35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720FB">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3A283">
            <w:pPr>
              <w:keepNext/>
              <w:spacing w:before="0" w:after="0" w:line="240" w:lineRule="auto"/>
              <w:jc w:val="center"/>
            </w:pPr>
          </w:p>
        </w:tc>
      </w:tr>
      <w:tr w14:paraId="19822B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03C2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B277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2E04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11E7D">
            <w:pPr>
              <w:spacing w:before="0" w:after="0" w:line="240" w:lineRule="auto"/>
              <w:jc w:val="center"/>
            </w:pPr>
            <w:r>
              <w:rPr>
                <w:rFonts w:ascii="宋体" w:hAnsi="宋体" w:eastAsia="宋体"/>
                <w:b w:val="0"/>
                <w:i w:val="0"/>
                <w:sz w:val="18"/>
              </w:rPr>
              <w:t>伙食补助配套标准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2F2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0C4F7">
            <w:pPr>
              <w:spacing w:before="0" w:after="0" w:line="240" w:lineRule="auto"/>
              <w:jc w:val="center"/>
            </w:pPr>
            <w:r>
              <w:rPr>
                <w:rFonts w:ascii="宋体" w:hAnsi="宋体" w:eastAsia="宋体"/>
                <w:b w:val="0"/>
                <w:i w:val="0"/>
                <w:sz w:val="18"/>
              </w:rPr>
              <w:t>20元/生/月*10个月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75410">
            <w:pPr>
              <w:spacing w:before="0" w:after="0" w:line="240" w:lineRule="auto"/>
              <w:jc w:val="center"/>
            </w:pPr>
            <w:r>
              <w:rPr>
                <w:rFonts w:ascii="宋体" w:hAnsi="宋体" w:eastAsia="宋体"/>
                <w:b w:val="0"/>
                <w:i w:val="0"/>
                <w:sz w:val="18"/>
              </w:rPr>
              <w:t>=20元/生/月*10个月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2E4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F65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14BB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394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12A61">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4FBD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90D67">
            <w:pPr>
              <w:spacing w:before="0" w:after="0" w:line="240" w:lineRule="auto"/>
              <w:jc w:val="center"/>
            </w:pPr>
          </w:p>
        </w:tc>
      </w:tr>
      <w:tr w14:paraId="6E77175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0549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07049">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D5612">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DDB28">
            <w:pPr>
              <w:keepNext/>
              <w:spacing w:before="0" w:after="0" w:line="240" w:lineRule="auto"/>
              <w:jc w:val="center"/>
            </w:pPr>
            <w:r>
              <w:rPr>
                <w:rFonts w:ascii="宋体" w:hAnsi="宋体" w:eastAsia="宋体"/>
                <w:b w:val="0"/>
                <w:i w:val="0"/>
                <w:sz w:val="18"/>
              </w:rPr>
              <w:t>减轻学生家庭经济负担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7DF8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9F409">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C2316">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87DB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B123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E56F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D1BC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A85A8">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6AC2F">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BF2EB">
            <w:pPr>
              <w:keepNext/>
              <w:spacing w:before="0" w:after="0" w:line="240" w:lineRule="auto"/>
              <w:jc w:val="center"/>
            </w:pPr>
          </w:p>
        </w:tc>
      </w:tr>
      <w:tr w14:paraId="1251EF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580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0745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0CF8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CDAA9">
            <w:pPr>
              <w:spacing w:before="0" w:after="0" w:line="240" w:lineRule="auto"/>
              <w:jc w:val="center"/>
            </w:pPr>
            <w:r>
              <w:rPr>
                <w:rFonts w:ascii="宋体" w:hAnsi="宋体" w:eastAsia="宋体"/>
                <w:b w:val="0"/>
                <w:i w:val="0"/>
                <w:sz w:val="18"/>
              </w:rPr>
              <w:t>促进学校及社会科学研究水平提高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8314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522DB">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99DFB">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1CA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289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FB78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1EC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9C98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E162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95B34">
            <w:pPr>
              <w:spacing w:before="0" w:after="0" w:line="240" w:lineRule="auto"/>
              <w:jc w:val="center"/>
            </w:pPr>
          </w:p>
        </w:tc>
      </w:tr>
      <w:tr w14:paraId="3DE71A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FC9C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2A6F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DF3F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F4956">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FF18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6474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3558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783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758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B88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704F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D786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ABDC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BA431">
            <w:pPr>
              <w:spacing w:before="0" w:after="0" w:line="240" w:lineRule="auto"/>
              <w:jc w:val="center"/>
            </w:pPr>
          </w:p>
        </w:tc>
      </w:tr>
      <w:tr w14:paraId="11C4F2A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3B63F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644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60F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187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43C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D8252">
            <w:pPr>
              <w:spacing w:before="0" w:after="0" w:line="240" w:lineRule="auto"/>
              <w:jc w:val="center"/>
            </w:pPr>
            <w:r>
              <w:rPr>
                <w:rFonts w:ascii="宋体" w:hAnsi="宋体" w:eastAsia="宋体"/>
                <w:b w:val="0"/>
                <w:i w:val="0"/>
                <w:sz w:val="18"/>
              </w:rPr>
              <w:t>90.00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2249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08E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301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A75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33FF7">
            <w:pPr>
              <w:spacing w:before="0" w:after="0" w:line="240" w:lineRule="auto"/>
              <w:jc w:val="center"/>
            </w:pPr>
          </w:p>
        </w:tc>
      </w:tr>
    </w:tbl>
    <w:p w14:paraId="2AD51262">
      <w:r>
        <w:br w:type="page"/>
      </w:r>
    </w:p>
    <w:p w14:paraId="59349614">
      <w:pPr>
        <w:sectPr>
          <w:type w:val="continuous"/>
          <w:pgSz w:w="11906" w:h="16838"/>
          <w:pgMar w:top="1440" w:right="1800" w:bottom="1440" w:left="1800" w:header="851" w:footer="992" w:gutter="0"/>
          <w:cols w:space="720" w:num="1"/>
          <w:docGrid w:type="lines" w:linePitch="312" w:charSpace="0"/>
        </w:sectPr>
      </w:pPr>
    </w:p>
    <w:p w14:paraId="202E7A26">
      <w:pPr>
        <w:spacing w:line="640" w:lineRule="exact"/>
        <w:ind w:firstLine="640"/>
        <w:jc w:val="both"/>
        <w:outlineLvl w:val="2"/>
      </w:pPr>
      <w:r>
        <w:rPr>
          <w:rFonts w:ascii="黑体" w:hAnsi="黑体" w:eastAsia="黑体"/>
          <w:sz w:val="32"/>
        </w:rPr>
        <w:t>十二、其他需说明的事项</w:t>
      </w:r>
    </w:p>
    <w:p w14:paraId="238C8479">
      <w:pPr>
        <w:spacing w:line="580" w:lineRule="exact"/>
        <w:ind w:firstLine="640"/>
        <w:jc w:val="both"/>
      </w:pPr>
      <w:r>
        <w:rPr>
          <w:rFonts w:ascii="仿宋_GB2312" w:hAnsi="仿宋_GB2312" w:eastAsia="仿宋_GB2312"/>
          <w:b w:val="0"/>
          <w:sz w:val="32"/>
        </w:rPr>
        <w:t>本单位无其他需说明的事项。</w:t>
      </w:r>
    </w:p>
    <w:p w14:paraId="5C9B1395">
      <w:r>
        <w:br w:type="page"/>
      </w:r>
    </w:p>
    <w:p w14:paraId="75FB33CB">
      <w:pPr>
        <w:spacing w:line="600" w:lineRule="exact"/>
        <w:jc w:val="center"/>
        <w:outlineLvl w:val="0"/>
      </w:pPr>
      <w:r>
        <w:rPr>
          <w:rFonts w:ascii="黑体" w:hAnsi="黑体" w:eastAsia="黑体"/>
          <w:sz w:val="32"/>
        </w:rPr>
        <w:t>第三部分 专业名词解释</w:t>
      </w:r>
    </w:p>
    <w:p w14:paraId="32EE7C4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2610BC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1AE41E">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EC4DCC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95122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9D19492">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FD7562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8D6A845">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5DD5A3F">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6C98CF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AC5F5D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ECB7C4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9E3B07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E6684E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79A9B1D">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0C5A65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42390B6">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761E495">
      <w:r>
        <w:br w:type="page"/>
      </w:r>
    </w:p>
    <w:p w14:paraId="5E53E502">
      <w:pPr>
        <w:spacing w:line="240" w:lineRule="auto"/>
        <w:jc w:val="center"/>
        <w:outlineLvl w:val="1"/>
      </w:pPr>
      <w:r>
        <w:rPr>
          <w:rFonts w:ascii="黑体" w:hAnsi="黑体" w:eastAsia="黑体"/>
          <w:sz w:val="32"/>
        </w:rPr>
        <w:t>第四部分 部门决算报表（见附表）</w:t>
      </w:r>
    </w:p>
    <w:p w14:paraId="079682BB">
      <w:pPr>
        <w:autoSpaceDE w:val="0"/>
        <w:autoSpaceDN w:val="0"/>
        <w:spacing w:line="600" w:lineRule="exact"/>
        <w:ind w:firstLine="640" w:firstLineChars="200"/>
      </w:pPr>
      <w:r>
        <w:rPr>
          <w:rFonts w:ascii="仿宋_GB2312" w:hAnsi="仿宋_GB2312" w:eastAsia="仿宋_GB2312"/>
          <w:b w:val="0"/>
          <w:sz w:val="32"/>
        </w:rPr>
        <w:t>一、《收入支出决算总表》</w:t>
      </w:r>
    </w:p>
    <w:p w14:paraId="352892E0">
      <w:pPr>
        <w:autoSpaceDE w:val="0"/>
        <w:autoSpaceDN w:val="0"/>
        <w:spacing w:line="600" w:lineRule="exact"/>
        <w:ind w:firstLine="640" w:firstLineChars="200"/>
      </w:pPr>
      <w:r>
        <w:rPr>
          <w:rFonts w:ascii="仿宋_GB2312" w:hAnsi="仿宋_GB2312" w:eastAsia="仿宋_GB2312"/>
          <w:b w:val="0"/>
          <w:sz w:val="32"/>
        </w:rPr>
        <w:t>二、《收入决算表》</w:t>
      </w:r>
    </w:p>
    <w:p w14:paraId="217C5CE1">
      <w:pPr>
        <w:autoSpaceDE w:val="0"/>
        <w:autoSpaceDN w:val="0"/>
        <w:spacing w:line="600" w:lineRule="exact"/>
        <w:ind w:firstLine="640" w:firstLineChars="200"/>
      </w:pPr>
      <w:r>
        <w:rPr>
          <w:rFonts w:ascii="仿宋_GB2312" w:hAnsi="仿宋_GB2312" w:eastAsia="仿宋_GB2312"/>
          <w:b w:val="0"/>
          <w:sz w:val="32"/>
        </w:rPr>
        <w:t>三、《支出决算表》</w:t>
      </w:r>
    </w:p>
    <w:p w14:paraId="76C76AA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D75B30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E38C8D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C2C559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12C8A49">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B79EB3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2A09B7C">
      <w:pPr>
        <w:autoSpaceDE w:val="0"/>
        <w:autoSpaceDN w:val="0"/>
        <w:spacing w:line="600" w:lineRule="exact"/>
        <w:ind w:firstLine="640" w:firstLineChars="200"/>
      </w:pPr>
    </w:p>
    <w:p w14:paraId="71E47B73">
      <w:pPr>
        <w:autoSpaceDE w:val="0"/>
        <w:autoSpaceDN w:val="0"/>
        <w:spacing w:line="600" w:lineRule="exact"/>
        <w:ind w:firstLine="640" w:firstLineChars="200"/>
      </w:pPr>
    </w:p>
    <w:p w14:paraId="72F3D8BF">
      <w:pPr>
        <w:autoSpaceDE w:val="0"/>
        <w:autoSpaceDN w:val="0"/>
        <w:spacing w:line="600" w:lineRule="exact"/>
        <w:ind w:firstLine="640" w:firstLineChars="200"/>
      </w:pPr>
    </w:p>
    <w:p w14:paraId="4AB4F171">
      <w:pPr>
        <w:autoSpaceDE w:val="0"/>
        <w:autoSpaceDN w:val="0"/>
        <w:spacing w:line="600" w:lineRule="exact"/>
        <w:ind w:firstLine="640" w:firstLineChars="200"/>
      </w:pPr>
    </w:p>
    <w:p w14:paraId="7CE5CB6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C252F0E"/>
    <w:rsid w:val="2D1136DF"/>
    <w:rsid w:val="2DAE0E44"/>
    <w:rsid w:val="2EB07E70"/>
    <w:rsid w:val="2EB7520E"/>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BFF2488"/>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67d1a117-7e97-4065-9e79-41ee1cbbff9f</errorID>
      <errorWord xmlns="http://schemas.wps.cn/vas-ai-hub/contract-review">民族</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6FA89C41</paraID>
      <start xmlns="http://schemas.wps.cn/vas-ai-hub/contract-review">39</start>
      <end xmlns="http://schemas.wps.cn/vas-ai-hub/contract-review">41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b8b322b0-6429-4353-b888-9c418fb775d6</errorID>
      <errorWord xmlns="http://schemas.wps.cn/vas-ai-hub/contract-review">2月31日</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529BCF1E</paraID>
      <start xmlns="http://schemas.wps.cn/vas-ai-hub/contract-review">8</start>
      <end xmlns="http://schemas.wps.cn/vas-ai-hub/contract-review">13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5335eddf-533a-4107-b73d-e8f2269cb8eb</errorID>
      <errorWord xmlns="http://schemas.wps.cn/vas-ai-hub/contract-review">监控</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 6C73CC5</paraID>
      <start xmlns="http://schemas.wps.cn/vas-ai-hub/contract-review">102</start>
      <end xmlns="http://schemas.wps.cn/vas-ai-hub/contract-review">104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2e839448-82f0-4b73-9088-d2eea661a1bf</errorID>
      <errorWord xmlns="http://schemas.wps.cn/vas-ai-hub/contract-review">未</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未能</item>
      </candidateList>
      <explain xmlns="http://schemas.wps.cn/vas-ai-hub/contract-review"/>
      <paraID xmlns="http://schemas.wps.cn/vas-ai-hub/contract-review"> 6C73CC5</paraID>
      <start xmlns="http://schemas.wps.cn/vas-ai-hub/contract-review">234</start>
      <end xmlns="http://schemas.wps.cn/vas-ai-hub/contract-review">236</end>
      <status xmlns="http://schemas.wps.cn/vas-ai-hub/contract-review">modified</status>
      <modifiedWord xmlns="http://schemas.wps.cn/vas-ai-hub/contract-review">未能</modifiedWord>
      <trackRevisions xmlns="http://schemas.wps.cn/vas-ai-hub/contract-review">false</trackRevisions>
    </reviewItem>
    <reviewItem xmlns="http://schemas.wps.cn/vas-ai-hub/contract-review">
      <errorID xmlns="http://schemas.wps.cn/vas-ai-hub/contract-review">3ca359e6-75f8-43a2-8d1f-b5878d81c3b4</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7AB01682</paraID>
      <start xmlns="http://schemas.wps.cn/vas-ai-hub/contract-review">8</start>
      <end xmlns="http://schemas.wps.cn/vas-ai-hub/contract-review">9</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3.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55ea46-ec9a-416f-8cc8-c0e3e3364960}">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7593</Words>
  <Characters>8643</Characters>
  <Lines>10</Lines>
  <Paragraphs>2</Paragraphs>
  <TotalTime>20</TotalTime>
  <ScaleCrop>false</ScaleCrop>
  <LinksUpToDate>false</LinksUpToDate>
  <CharactersWithSpaces>8653</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2026-07-22T15:37:00Z</dcterms:created>
  <dc:creator>GXR</dc:creator>
  <cp:lastModifiedBy>user</cp:lastModifiedBy>
  <cp:lastPrinted>2024-07-22T19:58:00Z</cp:lastPrinted>
  <dcterms:modified xsi:type="dcterms:W3CDTF">2026-09-04T10:49:52Z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