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bookmarkStart w:id="0" w:name="_GoBack"/>
      <w:bookmarkEnd w:id="0"/>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新疆和田学院</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07820514">
      <w:r>
        <w:br w:type="page"/>
      </w:r>
    </w:p>
    <w:p w14:paraId="7E4B9AFF">
      <w:pPr>
        <w:spacing w:line="640" w:lineRule="exact"/>
        <w:jc w:val="center"/>
        <w:outlineLvl w:val="1"/>
      </w:pPr>
      <w:r>
        <w:rPr>
          <w:rFonts w:ascii="黑体" w:hAnsi="黑体" w:eastAsia="黑体"/>
          <w:sz w:val="32"/>
        </w:rPr>
        <w:t>第一部分 单位概况</w:t>
      </w:r>
    </w:p>
    <w:p w14:paraId="2E12F66C">
      <w:pPr>
        <w:spacing w:line="640" w:lineRule="exact"/>
        <w:ind w:firstLine="640"/>
        <w:jc w:val="both"/>
        <w:outlineLvl w:val="2"/>
      </w:pPr>
      <w:r>
        <w:rPr>
          <w:rFonts w:ascii="黑体" w:hAnsi="黑体" w:eastAsia="黑体"/>
          <w:sz w:val="32"/>
        </w:rPr>
        <w:t>一、主要职能</w:t>
      </w:r>
    </w:p>
    <w:p w14:paraId="3DC79C01">
      <w:pPr>
        <w:spacing w:line="580" w:lineRule="exact"/>
        <w:ind w:firstLine="640"/>
        <w:jc w:val="both"/>
      </w:pPr>
      <w:r>
        <w:rPr>
          <w:rFonts w:ascii="仿宋_GB2312" w:hAnsi="仿宋_GB2312" w:eastAsia="仿宋_GB2312"/>
          <w:sz w:val="32"/>
        </w:rPr>
        <w:t>新疆和田学院是由自治区人民政府创办的公办全日制普通本科院校，2024年5月，经教育部批准，以和田师范专科学校和新疆维吾尔医学专科学校为基础设立。新疆和田学院昆仑路校区（新校区）位于新疆和田地区和田县昆仑北路1号。2024年7月4日，自治区党委编委下发了《关于新疆和田学院机构编制方案的批复》；2024年7月28日，自治区宣布了新疆和田学院班子成员任职决定；2024年10月23日，中共中央政治局常委、全国政协主席王沪宁一行来新疆和田学院调研；2024年11月8日，新疆和田学院举行揭牌仪式，这标志着新疆和田学院各项工作迈上了新台阶。2025年5月11日，教育部党组书记、部长怀进鹏同志来校调研，对学校快速发展取得的成绩给予了肯定。</w:t>
      </w:r>
    </w:p>
    <w:p w14:paraId="7E9E6331">
      <w:pPr>
        <w:spacing w:line="580" w:lineRule="exact"/>
        <w:ind w:firstLine="640"/>
        <w:jc w:val="both"/>
      </w:pPr>
      <w:r>
        <w:rPr>
          <w:rFonts w:ascii="仿宋_GB2312" w:hAnsi="仿宋_GB2312" w:eastAsia="仿宋_GB2312"/>
          <w:sz w:val="32"/>
        </w:rPr>
        <w:t>学校有17个二级学院，分布在3个校区，其中昆仑路校区有9个二级学院、北京路南校区有3个二级学院、北京路北校区有5个二级学院，计划到2028年建成21个二级学院。学校现有思想政治教育、小学教育、学前教育、数据科学与大数据技术、计算机科学与技术、医学检验技术、物理学、汉语言文学、人工智能、中药学、应用心理学、地理科学、化工程与工艺、体育教育、数学与应用数学、机械设计制造及其自动化、宝石及材料工艺学、食品科学与工程、预防医学、康复治疗学、护理、数字媒体艺术等22个本科专业，小学道德与法治教育、小学科学教育等32个专科专业。</w:t>
      </w:r>
    </w:p>
    <w:p w14:paraId="069F8C80">
      <w:pPr>
        <w:spacing w:line="580" w:lineRule="exact"/>
        <w:ind w:firstLine="640"/>
        <w:jc w:val="both"/>
      </w:pPr>
      <w:r>
        <w:rPr>
          <w:rFonts w:ascii="仿宋_GB2312" w:hAnsi="仿宋_GB2312" w:eastAsia="仿宋_GB2312"/>
          <w:sz w:val="32"/>
        </w:rPr>
        <w:t>根据实际，学校确定了统筹实施“新工科、新医科、新农科和新文科”建设，力争5年内全部专业实现本科招生，努力办成涵盖教育学、医学、法学、文学、理学、农学、工学、管理学、艺术学等9个学科门类，特色鲜明、有重要影响的地方性、多科性、应用型本科高校。</w:t>
      </w:r>
    </w:p>
    <w:p w14:paraId="6852B038">
      <w:pPr>
        <w:spacing w:line="580" w:lineRule="exact"/>
        <w:ind w:firstLine="640"/>
        <w:jc w:val="both"/>
      </w:pPr>
      <w:r>
        <w:rPr>
          <w:rFonts w:ascii="仿宋_GB2312" w:hAnsi="仿宋_GB2312" w:eastAsia="仿宋_GB2312"/>
          <w:sz w:val="32"/>
        </w:rPr>
        <w:t>目前，学校建有各级各类科研平台共39个。其中，省部级平台7个，包括教育部“国家语言文字推广基地”、教育部民族发展中心“新疆南疆地区民族文化与教育重点研究基地”、新疆维吾尔自治区科学技术厅“新疆和田特色中医药研究重点实验室”与“新疆和田中药民族药工程技术研究中心”、新疆维吾尔自治区发展和改革委员会“新疆维吾尔自治区维吾尔药材及制剂质量控制工程研究中心”，以及新疆维吾尔自治区教育厅“铸牢中华民族共同体意识研究与实践基地”与“自治区南疆高校思想政治工作队伍研修中心”；地厅级平台24个，涵盖覆盖医药、农业、教育等领域的23个地区级研究中心和1个和田地区科普基地；另有2025年立项的校级科研培育平台8个。</w:t>
      </w:r>
    </w:p>
    <w:p w14:paraId="76266111">
      <w:pPr>
        <w:spacing w:line="640" w:lineRule="exact"/>
        <w:ind w:firstLine="640"/>
        <w:jc w:val="both"/>
        <w:outlineLvl w:val="2"/>
      </w:pPr>
      <w:r>
        <w:rPr>
          <w:rFonts w:ascii="黑体" w:hAnsi="黑体" w:eastAsia="黑体"/>
          <w:sz w:val="32"/>
        </w:rPr>
        <w:t>二、机构设置</w:t>
      </w:r>
    </w:p>
    <w:p w14:paraId="55CEF075">
      <w:pPr>
        <w:spacing w:line="580" w:lineRule="exact"/>
        <w:ind w:firstLine="640"/>
        <w:jc w:val="both"/>
      </w:pPr>
      <w:r>
        <w:rPr>
          <w:rFonts w:ascii="仿宋_GB2312" w:hAnsi="仿宋_GB2312" w:eastAsia="仿宋_GB2312"/>
          <w:sz w:val="32"/>
        </w:rPr>
        <w:t>新疆和田学院无下属预算单位。</w:t>
      </w:r>
    </w:p>
    <w:p w14:paraId="244066D5">
      <w:r>
        <w:br w:type="page"/>
      </w:r>
    </w:p>
    <w:p w14:paraId="464809D4">
      <w:pPr>
        <w:spacing w:line="240" w:lineRule="auto"/>
        <w:jc w:val="center"/>
        <w:outlineLvl w:val="1"/>
      </w:pPr>
      <w:r>
        <w:rPr>
          <w:rFonts w:ascii="黑体" w:hAnsi="黑体" w:eastAsia="黑体"/>
          <w:sz w:val="32"/>
        </w:rPr>
        <w:t>第二部分 部门决算情况说明</w:t>
      </w:r>
    </w:p>
    <w:p w14:paraId="70643DA0">
      <w:pPr>
        <w:spacing w:line="640" w:lineRule="exact"/>
        <w:ind w:firstLine="640"/>
        <w:jc w:val="both"/>
        <w:outlineLvl w:val="2"/>
      </w:pPr>
      <w:r>
        <w:rPr>
          <w:rFonts w:ascii="黑体" w:hAnsi="黑体" w:eastAsia="黑体"/>
          <w:sz w:val="32"/>
        </w:rPr>
        <w:t>一、收入支出决算总体情况说明</w:t>
      </w:r>
    </w:p>
    <w:p w14:paraId="387037EA">
      <w:pPr>
        <w:spacing w:line="580" w:lineRule="exact"/>
        <w:ind w:firstLine="640"/>
        <w:jc w:val="both"/>
      </w:pPr>
      <w:r>
        <w:rPr>
          <w:rFonts w:ascii="仿宋_GB2312" w:hAnsi="仿宋_GB2312" w:eastAsia="仿宋_GB2312"/>
          <w:b/>
          <w:sz w:val="32"/>
        </w:rPr>
        <w:t>2025年度收入总计67,648.29万元，</w:t>
      </w:r>
      <w:r>
        <w:rPr>
          <w:rFonts w:ascii="仿宋_GB2312" w:hAnsi="仿宋_GB2312" w:eastAsia="仿宋_GB2312"/>
          <w:b w:val="0"/>
          <w:sz w:val="32"/>
        </w:rPr>
        <w:t>其中：本年收入合计65,015.25万元，使用非财政拨款结余（含专用结余）0.00万元，年初结转和结余2,633.05万元。</w:t>
      </w:r>
    </w:p>
    <w:p w14:paraId="35D1FBBF">
      <w:pPr>
        <w:spacing w:line="580" w:lineRule="exact"/>
        <w:ind w:firstLine="640"/>
        <w:jc w:val="both"/>
      </w:pPr>
      <w:r>
        <w:rPr>
          <w:rFonts w:ascii="仿宋_GB2312" w:hAnsi="仿宋_GB2312" w:eastAsia="仿宋_GB2312"/>
          <w:b/>
          <w:sz w:val="32"/>
        </w:rPr>
        <w:t>2025年度支出总计67,648.29万元，</w:t>
      </w:r>
      <w:r>
        <w:rPr>
          <w:rFonts w:ascii="仿宋_GB2312" w:hAnsi="仿宋_GB2312" w:eastAsia="仿宋_GB2312"/>
          <w:b w:val="0"/>
          <w:sz w:val="32"/>
        </w:rPr>
        <w:t>其中：本年支出合计65,701.74万元，结余分配0.00万元，年末结转和结余1,946.56万元。</w:t>
      </w:r>
    </w:p>
    <w:p w14:paraId="547142D3">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增加30,661.02万元，增长82.90%，主要原因是：2024年5月经教育部批准，以和田师范专科学校、新疆维吾尔医学专科学校为基础设立新疆和田学院；2025年两校资金实现正式合并</w:t>
      </w:r>
      <w:r>
        <w:rPr>
          <w:rFonts w:hint="eastAsia" w:ascii="仿宋_GB2312" w:hAnsi="仿宋_GB2312" w:eastAsia="仿宋_GB2312"/>
          <w:b w:val="0"/>
          <w:sz w:val="32"/>
          <w:lang w:eastAsia="zh-CN"/>
        </w:rPr>
        <w:t>，</w:t>
      </w:r>
      <w:r>
        <w:rPr>
          <w:rFonts w:ascii="仿宋_GB2312" w:hAnsi="仿宋_GB2312" w:eastAsia="仿宋_GB2312"/>
          <w:b w:val="0"/>
          <w:sz w:val="32"/>
        </w:rPr>
        <w:t>增加了提前下达2025年新疆西藏等地区教育特殊补助资金——铸牢中华民族共同体教育、提前下达2025年中央支持地方高校改革发展资金、提前下达2025年中央现代职业教育质量提升计划资金、2025年自治区年初预算项目资金-自治区高校基本科研业务费等大批量项目收入</w:t>
      </w:r>
      <w:r>
        <w:rPr>
          <w:rFonts w:hint="eastAsia" w:ascii="仿宋_GB2312" w:hAnsi="仿宋_GB2312" w:eastAsia="仿宋_GB2312"/>
          <w:b w:val="0"/>
          <w:sz w:val="32"/>
          <w:lang w:eastAsia="zh-CN"/>
        </w:rPr>
        <w:t>。</w:t>
      </w:r>
    </w:p>
    <w:p w14:paraId="36FEE84C">
      <w:pPr>
        <w:spacing w:line="640" w:lineRule="exact"/>
        <w:ind w:firstLine="640"/>
        <w:jc w:val="both"/>
        <w:outlineLvl w:val="2"/>
      </w:pPr>
      <w:r>
        <w:rPr>
          <w:rFonts w:ascii="黑体" w:hAnsi="黑体" w:eastAsia="黑体"/>
          <w:sz w:val="32"/>
        </w:rPr>
        <w:t>二、收入决算情况说明</w:t>
      </w:r>
    </w:p>
    <w:p w14:paraId="3135ED30">
      <w:pPr>
        <w:spacing w:line="580" w:lineRule="exact"/>
        <w:ind w:firstLine="640"/>
        <w:jc w:val="both"/>
      </w:pPr>
      <w:r>
        <w:rPr>
          <w:rFonts w:ascii="仿宋_GB2312" w:hAnsi="仿宋_GB2312" w:eastAsia="仿宋_GB2312"/>
          <w:b/>
          <w:sz w:val="32"/>
        </w:rPr>
        <w:t>本年收入65,015.25万元，</w:t>
      </w:r>
      <w:r>
        <w:rPr>
          <w:rFonts w:ascii="仿宋_GB2312" w:hAnsi="仿宋_GB2312" w:eastAsia="仿宋_GB2312"/>
          <w:b w:val="0"/>
          <w:sz w:val="32"/>
        </w:rPr>
        <w:t>其中：财政拨款收入55,165.17万元，占84.85%；上级补助收入0.00万元，占0.00%；事业收入7,205.67万元，占11.08%；经营收入0.00万元，占0.00%；附属单位上缴收入0.00万元，占0.00%；其他收入2,644.41万元，占4.07%。</w:t>
      </w:r>
    </w:p>
    <w:p w14:paraId="5B8E8F10">
      <w:pPr>
        <w:spacing w:line="640" w:lineRule="exact"/>
        <w:ind w:firstLine="640"/>
        <w:jc w:val="both"/>
        <w:outlineLvl w:val="2"/>
      </w:pPr>
      <w:r>
        <w:rPr>
          <w:rFonts w:ascii="黑体" w:hAnsi="黑体" w:eastAsia="黑体"/>
          <w:sz w:val="32"/>
        </w:rPr>
        <w:t>三、支出决算情况说明</w:t>
      </w:r>
    </w:p>
    <w:p w14:paraId="2EDDD170">
      <w:pPr>
        <w:spacing w:line="580" w:lineRule="exact"/>
        <w:ind w:firstLine="640"/>
        <w:jc w:val="both"/>
      </w:pPr>
      <w:r>
        <w:rPr>
          <w:rFonts w:ascii="仿宋_GB2312" w:hAnsi="仿宋_GB2312" w:eastAsia="仿宋_GB2312"/>
          <w:b/>
          <w:sz w:val="32"/>
        </w:rPr>
        <w:t>本年支出65,701.74万元，</w:t>
      </w:r>
      <w:r>
        <w:rPr>
          <w:rFonts w:ascii="仿宋_GB2312" w:hAnsi="仿宋_GB2312" w:eastAsia="仿宋_GB2312"/>
          <w:b w:val="0"/>
          <w:sz w:val="32"/>
        </w:rPr>
        <w:t>其中：基本支出38,559.29万元，占58.69%；项目支出27,142.44万元，占41.31%；上缴上级支出0.00万元，占0.00%；经营支出0.00万元，占0.00%；对附属单位补助支出0.00万元，占0.00%。</w:t>
      </w:r>
    </w:p>
    <w:p w14:paraId="03B65535">
      <w:pPr>
        <w:spacing w:line="640" w:lineRule="exact"/>
        <w:ind w:firstLine="640"/>
        <w:jc w:val="both"/>
        <w:outlineLvl w:val="2"/>
      </w:pPr>
      <w:r>
        <w:rPr>
          <w:rFonts w:ascii="黑体" w:hAnsi="黑体" w:eastAsia="黑体"/>
          <w:sz w:val="32"/>
        </w:rPr>
        <w:t>四、财政拨款收入支出决算总体情况说明</w:t>
      </w:r>
    </w:p>
    <w:p w14:paraId="7907B03A">
      <w:pPr>
        <w:spacing w:line="580" w:lineRule="exact"/>
        <w:ind w:firstLine="640"/>
        <w:jc w:val="both"/>
      </w:pPr>
      <w:r>
        <w:rPr>
          <w:rFonts w:ascii="仿宋_GB2312" w:hAnsi="仿宋_GB2312" w:eastAsia="仿宋_GB2312"/>
          <w:b/>
          <w:sz w:val="32"/>
        </w:rPr>
        <w:t>2025年度财政拨款收入总计57,753.08万元，</w:t>
      </w:r>
      <w:r>
        <w:rPr>
          <w:rFonts w:ascii="仿宋_GB2312" w:hAnsi="仿宋_GB2312" w:eastAsia="仿宋_GB2312"/>
          <w:b w:val="0"/>
          <w:sz w:val="32"/>
        </w:rPr>
        <w:t>其中：年初财政拨款结转和结余2,587.91万元，本年财政拨款收入55,165.17万元。</w:t>
      </w:r>
      <w:r>
        <w:rPr>
          <w:rFonts w:ascii="仿宋_GB2312" w:hAnsi="仿宋_GB2312" w:eastAsia="仿宋_GB2312"/>
          <w:b/>
          <w:sz w:val="32"/>
        </w:rPr>
        <w:t>财政拨款支出总计57,753.08万元，</w:t>
      </w:r>
      <w:r>
        <w:rPr>
          <w:rFonts w:ascii="仿宋_GB2312" w:hAnsi="仿宋_GB2312" w:eastAsia="仿宋_GB2312"/>
          <w:b w:val="0"/>
          <w:sz w:val="32"/>
        </w:rPr>
        <w:t>其中：年末财政拨款结转和结余1,718.72万元，本年财政拨款支出56,034.36万元。</w:t>
      </w:r>
    </w:p>
    <w:p w14:paraId="4E308BD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增加29,044.01万元，增长101.17%，主要原因是：2024年5月经教育部批准，以和田师范专科学校、新疆维吾尔医学专科学校为基础设立新疆和田学院；2025年两校资金实现正式合并</w:t>
      </w:r>
      <w:r>
        <w:rPr>
          <w:rFonts w:hint="eastAsia" w:ascii="仿宋_GB2312" w:hAnsi="仿宋_GB2312" w:eastAsia="仿宋_GB2312"/>
          <w:b w:val="0"/>
          <w:sz w:val="32"/>
          <w:lang w:eastAsia="zh-CN"/>
        </w:rPr>
        <w:t>，</w:t>
      </w:r>
      <w:r>
        <w:rPr>
          <w:rFonts w:ascii="仿宋_GB2312" w:hAnsi="仿宋_GB2312" w:eastAsia="仿宋_GB2312"/>
          <w:b w:val="0"/>
          <w:sz w:val="32"/>
        </w:rPr>
        <w:t>增加了提前下达2025年新疆西藏等地区教育特殊补助资金——铸牢中华民族共同体教育、提前下达2025年中央支持地方高校改革发展资金、提前下达2025年中央现代职业教育质量提升计划资金、2025年自治区年初预算项目资金-自治区高校基本科研业务费等大批量项目收入</w:t>
      </w:r>
      <w:r>
        <w:rPr>
          <w:rFonts w:hint="eastAsia" w:ascii="仿宋_GB2312" w:hAnsi="仿宋_GB2312" w:eastAsia="仿宋_GB2312"/>
          <w:b w:val="0"/>
          <w:sz w:val="32"/>
          <w:lang w:eastAsia="zh-CN"/>
        </w:rPr>
        <w:t>。</w:t>
      </w:r>
      <w:r>
        <w:rPr>
          <w:rFonts w:ascii="仿宋_GB2312" w:hAnsi="仿宋_GB2312" w:eastAsia="仿宋_GB2312"/>
          <w:b/>
          <w:sz w:val="32"/>
        </w:rPr>
        <w:t>与年初预算相比，</w:t>
      </w:r>
      <w:r>
        <w:rPr>
          <w:rFonts w:ascii="仿宋_GB2312" w:hAnsi="仿宋_GB2312" w:eastAsia="仿宋_GB2312"/>
          <w:b w:val="0"/>
          <w:sz w:val="32"/>
        </w:rPr>
        <w:t>年初预算数51,237.34万元，决算数57,753.08万元，预决算差异率12.72%，主要原因是：2025年中追加2025年自治区学生资助补助资金（第二批）、财政厅关于下达2025年中央支持地方高校改革发展资金预算（第二批）、和田学院科研中心、大学生双创中心建设项目等项目资金，导致预决算产生差异。</w:t>
      </w:r>
    </w:p>
    <w:p w14:paraId="73CB2171">
      <w:pPr>
        <w:spacing w:line="640" w:lineRule="exact"/>
        <w:ind w:firstLine="640"/>
        <w:jc w:val="both"/>
        <w:outlineLvl w:val="2"/>
      </w:pPr>
      <w:r>
        <w:rPr>
          <w:rFonts w:ascii="黑体" w:hAnsi="黑体" w:eastAsia="黑体"/>
          <w:sz w:val="32"/>
        </w:rPr>
        <w:t>五、一般公共预算财政拨款支出决算情况说明</w:t>
      </w:r>
    </w:p>
    <w:p w14:paraId="2125E28C">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人才培养、教学运行、学科建设、科学研究、师资队伍建设、学生资助、基本办学条件改善、校园安全稳定等重点支出，体现在有关支出科目中。</w:t>
      </w:r>
    </w:p>
    <w:p w14:paraId="40CB8AD0">
      <w:pPr>
        <w:spacing w:line="580" w:lineRule="exact"/>
        <w:ind w:firstLine="640"/>
        <w:jc w:val="both"/>
      </w:pPr>
      <w:r>
        <w:rPr>
          <w:rFonts w:ascii="仿宋_GB2312" w:hAnsi="仿宋_GB2312" w:eastAsia="仿宋_GB2312"/>
          <w:b w:val="0"/>
          <w:sz w:val="32"/>
        </w:rPr>
        <w:t>按照支出功能分类，教育支出（类）普通教育（款）高等教育（项）的支出占本年财政拨款支出总额的比重最高，2025年度决算数为41,001.92万元，占比73.17%，主要用于保障学校教职工工资福利、社会保障缴费等人员经费开支，落实人才引育、师资队伍建设相关保障；保障日常教学、实践实训、课程建设、图书资料及教学耗材购置等教育教学需求；保障校园物业运维、水电能耗、校园环境维护、校舍及教学设备修缮维修等后勤保障支出，全方位支撑学校人才培养、教学科研、校园运行等各项事业平稳有序开展。</w:t>
      </w:r>
    </w:p>
    <w:p w14:paraId="741554E9">
      <w:pPr>
        <w:spacing w:line="640" w:lineRule="exact"/>
        <w:ind w:firstLine="640"/>
        <w:jc w:val="both"/>
        <w:outlineLvl w:val="3"/>
      </w:pPr>
      <w:r>
        <w:rPr>
          <w:rFonts w:ascii="楷体_GB2312" w:hAnsi="楷体_GB2312" w:eastAsia="楷体_GB2312"/>
          <w:b/>
          <w:sz w:val="32"/>
        </w:rPr>
        <w:t>（一）一般公共预算财政拨款支出决算总体情况</w:t>
      </w:r>
    </w:p>
    <w:p w14:paraId="6118BC22">
      <w:pPr>
        <w:spacing w:line="580" w:lineRule="exact"/>
        <w:ind w:firstLine="640"/>
        <w:jc w:val="both"/>
      </w:pPr>
      <w:r>
        <w:rPr>
          <w:rFonts w:ascii="仿宋_GB2312" w:hAnsi="仿宋_GB2312" w:eastAsia="仿宋_GB2312"/>
          <w:b/>
          <w:sz w:val="32"/>
        </w:rPr>
        <w:t>2025年度一般公共预算财政拨款支出42,047.16万元，</w:t>
      </w:r>
      <w:r>
        <w:rPr>
          <w:rFonts w:ascii="仿宋_GB2312" w:hAnsi="仿宋_GB2312" w:eastAsia="仿宋_GB2312"/>
          <w:b w:val="0"/>
          <w:sz w:val="32"/>
        </w:rPr>
        <w:t>占本年支出合计的64.00%。</w:t>
      </w:r>
      <w:r>
        <w:rPr>
          <w:rFonts w:ascii="仿宋_GB2312" w:hAnsi="仿宋_GB2312" w:eastAsia="仿宋_GB2312"/>
          <w:b/>
          <w:sz w:val="32"/>
        </w:rPr>
        <w:t>与上年相比，</w:t>
      </w:r>
      <w:r>
        <w:rPr>
          <w:rFonts w:ascii="仿宋_GB2312" w:hAnsi="仿宋_GB2312" w:eastAsia="仿宋_GB2312"/>
          <w:b w:val="0"/>
          <w:sz w:val="32"/>
        </w:rPr>
        <w:t>增加22,938.80万元，增长120.05%，主要原因是：2024年5月经教育部批准，以和田师范专科学校、新疆维吾尔医学专科学校为基础设立新疆和田学院；2025年两校资金实现正式合并</w:t>
      </w:r>
      <w:r>
        <w:rPr>
          <w:rFonts w:hint="eastAsia" w:ascii="仿宋_GB2312" w:hAnsi="仿宋_GB2312" w:eastAsia="仿宋_GB2312"/>
          <w:b w:val="0"/>
          <w:sz w:val="32"/>
          <w:lang w:eastAsia="zh-CN"/>
        </w:rPr>
        <w:t>，</w:t>
      </w:r>
      <w:r>
        <w:rPr>
          <w:rFonts w:ascii="仿宋_GB2312" w:hAnsi="仿宋_GB2312" w:eastAsia="仿宋_GB2312"/>
          <w:b w:val="0"/>
          <w:sz w:val="32"/>
        </w:rPr>
        <w:t>增加了提前下达2025年新疆西藏等地区教育特殊补助资金——铸牢中华民族共同体教育、提前下达2025年中央支持地方高校改革发展资金、提前下达2025年中央现代职业教育质量提升计划资金、2025年自治区年初预算项目资金-自治区高校基本科研业务费等大批量项目收入</w:t>
      </w:r>
      <w:r>
        <w:rPr>
          <w:rFonts w:hint="eastAsia" w:ascii="仿宋_GB2312" w:hAnsi="仿宋_GB2312" w:eastAsia="仿宋_GB2312"/>
          <w:b w:val="0"/>
          <w:sz w:val="32"/>
          <w:lang w:eastAsia="zh-CN"/>
        </w:rPr>
        <w:t>。</w:t>
      </w:r>
      <w:r>
        <w:rPr>
          <w:rFonts w:ascii="仿宋_GB2312" w:hAnsi="仿宋_GB2312" w:eastAsia="仿宋_GB2312"/>
          <w:b/>
          <w:sz w:val="32"/>
        </w:rPr>
        <w:t>与年初预算相比，</w:t>
      </w:r>
      <w:r>
        <w:rPr>
          <w:rFonts w:ascii="仿宋_GB2312" w:hAnsi="仿宋_GB2312" w:eastAsia="仿宋_GB2312"/>
          <w:b w:val="0"/>
          <w:sz w:val="32"/>
        </w:rPr>
        <w:t>年初预算数41,250.14万元，决算数42,047.16万元，预决算差异率1.93%，主要原因是：2025年中追加2025年自治区学生资助补助资金（第二批）、财政厅关于下达2025年中央支持地方高校改革发展资金预算（第二批）等项目资金，导致预决算产生差异。</w:t>
      </w:r>
    </w:p>
    <w:p w14:paraId="4FEC8B96">
      <w:pPr>
        <w:spacing w:line="640" w:lineRule="exact"/>
        <w:ind w:firstLine="640"/>
        <w:jc w:val="both"/>
        <w:outlineLvl w:val="3"/>
      </w:pPr>
      <w:r>
        <w:rPr>
          <w:rFonts w:ascii="楷体_GB2312" w:hAnsi="楷体_GB2312" w:eastAsia="楷体_GB2312"/>
          <w:b/>
          <w:sz w:val="32"/>
        </w:rPr>
        <w:t>（二）一般公共预算财政拨款支出决算结构情况</w:t>
      </w:r>
    </w:p>
    <w:p w14:paraId="73EAB1C8">
      <w:pPr>
        <w:spacing w:line="580" w:lineRule="exact"/>
        <w:ind w:firstLine="640"/>
        <w:jc w:val="both"/>
      </w:pPr>
      <w:r>
        <w:rPr>
          <w:rFonts w:ascii="仿宋_GB2312" w:hAnsi="仿宋_GB2312" w:eastAsia="仿宋_GB2312"/>
          <w:b w:val="0"/>
          <w:sz w:val="32"/>
        </w:rPr>
        <w:t>1.教育支出（类）41,830.47万元，占99.48%。</w:t>
      </w:r>
    </w:p>
    <w:p w14:paraId="09277110">
      <w:pPr>
        <w:spacing w:line="580" w:lineRule="exact"/>
        <w:ind w:firstLine="640"/>
        <w:jc w:val="both"/>
      </w:pPr>
      <w:r>
        <w:rPr>
          <w:rFonts w:ascii="仿宋_GB2312" w:hAnsi="仿宋_GB2312" w:eastAsia="仿宋_GB2312"/>
          <w:b w:val="0"/>
          <w:sz w:val="32"/>
        </w:rPr>
        <w:t>2.科学技术支出（类）115.50万元，占0.27%。</w:t>
      </w:r>
    </w:p>
    <w:p w14:paraId="390C7C96">
      <w:pPr>
        <w:spacing w:line="580" w:lineRule="exact"/>
        <w:ind w:firstLine="640"/>
        <w:jc w:val="both"/>
      </w:pPr>
      <w:r>
        <w:rPr>
          <w:rFonts w:ascii="仿宋_GB2312" w:hAnsi="仿宋_GB2312" w:eastAsia="仿宋_GB2312"/>
          <w:b w:val="0"/>
          <w:sz w:val="32"/>
        </w:rPr>
        <w:t>3.文化旅游体育与传媒支出（类）1.50万元，占0.004%。</w:t>
      </w:r>
    </w:p>
    <w:p w14:paraId="760EA573">
      <w:pPr>
        <w:spacing w:line="580" w:lineRule="exact"/>
        <w:ind w:firstLine="640"/>
        <w:jc w:val="both"/>
      </w:pPr>
      <w:r>
        <w:rPr>
          <w:rFonts w:ascii="仿宋_GB2312" w:hAnsi="仿宋_GB2312" w:eastAsia="仿宋_GB2312"/>
          <w:b w:val="0"/>
          <w:sz w:val="32"/>
        </w:rPr>
        <w:t>4.社会保障和就业支出（类）25.00万元，占0.06%。</w:t>
      </w:r>
    </w:p>
    <w:p w14:paraId="4B9A9D4D">
      <w:pPr>
        <w:spacing w:line="580" w:lineRule="exact"/>
        <w:ind w:firstLine="640"/>
        <w:jc w:val="both"/>
      </w:pPr>
      <w:r>
        <w:rPr>
          <w:rFonts w:ascii="仿宋_GB2312" w:hAnsi="仿宋_GB2312" w:eastAsia="仿宋_GB2312"/>
          <w:b w:val="0"/>
          <w:sz w:val="32"/>
        </w:rPr>
        <w:t>5.卫生健康支出（类）74.69万元，占0.18%。</w:t>
      </w:r>
    </w:p>
    <w:p w14:paraId="5BA6C878">
      <w:pPr>
        <w:spacing w:line="640" w:lineRule="exact"/>
        <w:ind w:firstLine="640"/>
        <w:jc w:val="both"/>
        <w:outlineLvl w:val="3"/>
      </w:pPr>
      <w:r>
        <w:rPr>
          <w:rFonts w:ascii="楷体_GB2312" w:hAnsi="楷体_GB2312" w:eastAsia="楷体_GB2312"/>
          <w:b/>
          <w:sz w:val="32"/>
        </w:rPr>
        <w:t>（三）一般公共预算财政拨款支出决算具体情况</w:t>
      </w:r>
    </w:p>
    <w:p w14:paraId="72CC81AC">
      <w:pPr>
        <w:spacing w:line="580" w:lineRule="exact"/>
        <w:ind w:firstLine="640"/>
        <w:jc w:val="both"/>
      </w:pPr>
      <w:r>
        <w:rPr>
          <w:rFonts w:ascii="仿宋_GB2312" w:hAnsi="仿宋_GB2312" w:eastAsia="仿宋_GB2312"/>
          <w:b w:val="0"/>
          <w:sz w:val="32"/>
        </w:rPr>
        <w:t>1.教育支出（类）普通教育（款）学前教育（项）：支出决算数为71.00万元，比上年决算增加71.00万元，增长100.00%，主要原因是：决算报表披露的上年基数仅为原和田师范专科学校上年决算数据，学前教育相关资金为两校合并后新增的附属幼儿园中央支持学前教育发展资金、自治区本级幼儿园保教费用财政补助资金项目，上年基数中未包含该部分经费，相应支出增加。</w:t>
      </w:r>
    </w:p>
    <w:p w14:paraId="0B8D6273">
      <w:pPr>
        <w:spacing w:line="580" w:lineRule="exact"/>
        <w:ind w:firstLine="640"/>
        <w:jc w:val="both"/>
      </w:pPr>
      <w:r>
        <w:rPr>
          <w:rFonts w:ascii="仿宋_GB2312" w:hAnsi="仿宋_GB2312" w:eastAsia="仿宋_GB2312"/>
          <w:b w:val="0"/>
          <w:sz w:val="32"/>
        </w:rPr>
        <w:t>2.教育支出（类）普通教育（款）高等教育（项）：支出决算数为41,001.92万元，比上年决算增加23,625.22万元，增长135.96%，主要原因是：决算报表披露的上年基数仅为原和田师范专科学校上年决算数据，而本次公开数为两校合并后的合计数，增加了提前下达2025年新疆西藏等地区教育特殊补助资金——铸牢中华民族共同体教育、提前下达2025年中央支持地方高校改革发展资金、提前下达2025年中央现代职业教育质量提升计划资金、2025年自治区年初预算项目资金-自治区高校基本科研业务费等大批量项目收入，故导致高等教育（项）支出增加。</w:t>
      </w:r>
    </w:p>
    <w:p w14:paraId="1754AFAB">
      <w:pPr>
        <w:spacing w:line="580" w:lineRule="exact"/>
        <w:ind w:firstLine="640"/>
        <w:jc w:val="both"/>
      </w:pPr>
      <w:r>
        <w:rPr>
          <w:rFonts w:ascii="仿宋_GB2312" w:hAnsi="仿宋_GB2312" w:eastAsia="仿宋_GB2312"/>
          <w:b w:val="0"/>
          <w:sz w:val="32"/>
        </w:rPr>
        <w:t>3.教育支出（类）职业教育（款）中等职业教育（项）：支出决算数为36.00万元，比上年决算增加36.00万元，增长100.00%，主要原因是：决算报表披露的上年基数仅为原和田师范专科学校上年决算数据，中等职业教育相关资金为两校合并后新增的中职教育学生家庭经济困难学生免学费、中央学生资助补助经费，上年基数中未包含该部分经费，</w:t>
      </w:r>
      <w:r>
        <w:rPr>
          <w:rFonts w:hint="eastAsia" w:ascii="仿宋_GB2312" w:hAnsi="仿宋_GB2312" w:eastAsia="仿宋_GB2312"/>
          <w:b w:val="0"/>
          <w:sz w:val="32"/>
          <w:lang w:val="en-US" w:eastAsia="zh-CN"/>
        </w:rPr>
        <w:t>相应支出增加</w:t>
      </w:r>
      <w:r>
        <w:rPr>
          <w:rFonts w:ascii="仿宋_GB2312" w:hAnsi="仿宋_GB2312" w:eastAsia="仿宋_GB2312"/>
          <w:b w:val="0"/>
          <w:sz w:val="32"/>
        </w:rPr>
        <w:t>。</w:t>
      </w:r>
    </w:p>
    <w:p w14:paraId="7596235B">
      <w:pPr>
        <w:spacing w:line="580" w:lineRule="exact"/>
        <w:ind w:firstLine="640"/>
        <w:jc w:val="both"/>
      </w:pPr>
      <w:r>
        <w:rPr>
          <w:rFonts w:ascii="仿宋_GB2312" w:hAnsi="仿宋_GB2312" w:eastAsia="仿宋_GB2312"/>
          <w:b w:val="0"/>
          <w:sz w:val="32"/>
        </w:rPr>
        <w:t>4.教育支出（类）职业教育（款）高等职业教育（项）：支出决算数为721.55万元，比上年决算减少926.12万元，下降56.21%，主要原因是：2024年度中央现代教育质量提升计划资金列示在高等职业教育功能科目，2025年该专项资金调整至高等教育功能科目核算，相应支出减少。</w:t>
      </w:r>
    </w:p>
    <w:p w14:paraId="465689C1">
      <w:pPr>
        <w:spacing w:line="580" w:lineRule="exact"/>
        <w:ind w:firstLine="640"/>
        <w:jc w:val="both"/>
      </w:pPr>
      <w:r>
        <w:rPr>
          <w:rFonts w:ascii="仿宋_GB2312" w:hAnsi="仿宋_GB2312" w:eastAsia="仿宋_GB2312"/>
          <w:b w:val="0"/>
          <w:sz w:val="32"/>
        </w:rPr>
        <w:t>5.科学技术支出（类）基础研究（款）科技人才队伍建设（项）：支出决算数为92.29万元，比上年决算增加92.29万元，增长100.00%，主要原因是：决算报表披露的上年基数仅为原和田师范专科学校上年决算数据，科技人才队伍建设相关资金为两校合并后新增的新疆人才发展基金，上年基数中未包含该部分经费，相应支出增加。</w:t>
      </w:r>
    </w:p>
    <w:p w14:paraId="777DAF1A">
      <w:pPr>
        <w:spacing w:line="580" w:lineRule="exact"/>
        <w:ind w:firstLine="640"/>
        <w:jc w:val="both"/>
      </w:pPr>
      <w:r>
        <w:rPr>
          <w:rFonts w:ascii="仿宋_GB2312" w:hAnsi="仿宋_GB2312" w:eastAsia="仿宋_GB2312"/>
          <w:b w:val="0"/>
          <w:sz w:val="32"/>
        </w:rPr>
        <w:t>6.科学技术支出（类）社会科学（款）社会科学研究（项）：支出决算数为23.21万元，比上年决算增加23.21万元，增长100.00%，主要原因是：决算报表披露的上年基数仅为原和田师范专科学校上年决算数据，社会科学研究相关资金为两校合并后新增的专项项目经费，上年基数中未包含该部分经费，相应支出增加。</w:t>
      </w:r>
    </w:p>
    <w:p w14:paraId="206A3B47">
      <w:pPr>
        <w:spacing w:line="580" w:lineRule="exact"/>
        <w:ind w:firstLine="640"/>
        <w:jc w:val="both"/>
      </w:pPr>
      <w:r>
        <w:rPr>
          <w:rFonts w:ascii="仿宋_GB2312" w:hAnsi="仿宋_GB2312" w:eastAsia="仿宋_GB2312"/>
          <w:b w:val="0"/>
          <w:sz w:val="32"/>
        </w:rPr>
        <w:t>7.文化旅游体育与传媒支出（类）文化和旅游（款）其他文化和旅游支出（项）：支出决算数为1.50万元，比上年决算增加1.50万元，增长100.00%，主要原因是：决算报表披露的上年基数仅为原和田师范专科学校上年决算数据，该项目资金为两校合并后新增的新疆人才发展基金2025年度第二轮支持资金--“天山英才”培养计划，上年基数中未包含该部分经费，相应支出增加。</w:t>
      </w:r>
    </w:p>
    <w:p w14:paraId="746BEEF4">
      <w:pPr>
        <w:spacing w:line="580" w:lineRule="exact"/>
        <w:ind w:firstLine="640"/>
        <w:jc w:val="both"/>
      </w:pPr>
      <w:r>
        <w:rPr>
          <w:rFonts w:ascii="仿宋_GB2312" w:hAnsi="仿宋_GB2312" w:eastAsia="仿宋_GB2312"/>
          <w:b w:val="0"/>
          <w:sz w:val="32"/>
        </w:rPr>
        <w:t>8.社会保障和就业支出（类）人力资源和社会保障管理事务（款）其他人力资源和社会保障管理事务支出（项）：支出决算数为0.00万元，比上年决算减少25.00万元，下降100.00%，主要原因是：本年科目调整，新疆人才发展基金项目上年度在此科目列支，本年调整至其他民政管理事务支出科目列支，相应支出减少。</w:t>
      </w:r>
    </w:p>
    <w:p w14:paraId="1A1C11D2">
      <w:pPr>
        <w:spacing w:line="580" w:lineRule="exact"/>
        <w:ind w:firstLine="640"/>
        <w:jc w:val="both"/>
      </w:pPr>
      <w:r>
        <w:rPr>
          <w:rFonts w:ascii="仿宋_GB2312" w:hAnsi="仿宋_GB2312" w:eastAsia="仿宋_GB2312"/>
          <w:b w:val="0"/>
          <w:sz w:val="32"/>
        </w:rPr>
        <w:t>9.社会保障和就业支出（类）民政管理事务（款）其他民政管理事务支出（项）：支出决算数为25.00万元，比上年决算增加25.00万元，增长100.00%，主要原因是：本年科目调整，新疆人才发展基金项目上年度在其他人力资源和社会保障管理事务支出科目列支，本年调整至其他民政管理事务支出科目列支，相应支出增加。</w:t>
      </w:r>
    </w:p>
    <w:p w14:paraId="398D62D8">
      <w:pPr>
        <w:spacing w:line="580" w:lineRule="exact"/>
        <w:ind w:firstLine="640"/>
        <w:jc w:val="both"/>
      </w:pPr>
      <w:r>
        <w:rPr>
          <w:rFonts w:ascii="仿宋_GB2312" w:hAnsi="仿宋_GB2312" w:eastAsia="仿宋_GB2312"/>
          <w:b w:val="0"/>
          <w:sz w:val="32"/>
        </w:rPr>
        <w:t>10.卫生健康支出（类）卫生健康管理事务（款）其他卫生健康管理事务支出（项）：支出决算数为74.69万元，比上年决算增加74.69万元，增长100.00%，主要原因是：决算报表披露的上年基数仅为原和田师范专科学校上年决算数据，该项目资金为两校合并后新增的新疆人才发展基金2025年度第一轮支持资金--天山英才医药卫生高层次人才培养计划、新疆人才发展基金2025年度第二轮支持资金--“天山英才”培养计划，上年基数中未包含该部分经费，相应支出增加。</w:t>
      </w:r>
    </w:p>
    <w:p w14:paraId="2AAC2154">
      <w:pPr>
        <w:spacing w:line="580" w:lineRule="exact"/>
        <w:ind w:firstLine="640"/>
        <w:jc w:val="both"/>
      </w:pPr>
      <w:r>
        <w:rPr>
          <w:rFonts w:ascii="仿宋_GB2312" w:hAnsi="仿宋_GB2312" w:eastAsia="仿宋_GB2312"/>
          <w:b w:val="0"/>
          <w:sz w:val="32"/>
        </w:rPr>
        <w:t>11.卫生健康支出（类）医疗救助（款）其他医疗救助支出（项）：支出决算数为0.00万元，比上年决算减少59.00万元，下降100.00%，主要原因是：本年减少支持高等教育发展保障经费-大学生医疗补助资金（高职）项目。</w:t>
      </w:r>
    </w:p>
    <w:p w14:paraId="58190DC0">
      <w:pPr>
        <w:spacing w:line="640" w:lineRule="exact"/>
        <w:ind w:firstLine="640"/>
        <w:jc w:val="both"/>
        <w:outlineLvl w:val="2"/>
      </w:pPr>
      <w:r>
        <w:rPr>
          <w:rFonts w:ascii="黑体" w:hAnsi="黑体" w:eastAsia="黑体"/>
          <w:sz w:val="32"/>
        </w:rPr>
        <w:t>六、一般公共预算财政拨款基本支出决算情况说明</w:t>
      </w:r>
    </w:p>
    <w:p w14:paraId="1EBA7258">
      <w:pPr>
        <w:spacing w:line="580" w:lineRule="exact"/>
        <w:ind w:firstLine="640"/>
        <w:jc w:val="both"/>
      </w:pPr>
      <w:r>
        <w:rPr>
          <w:rFonts w:ascii="仿宋_GB2312" w:hAnsi="仿宋_GB2312" w:eastAsia="仿宋_GB2312"/>
          <w:b w:val="0"/>
          <w:sz w:val="32"/>
        </w:rPr>
        <w:t>2025年度一般公共预算财政拨款基本支出33,704.00万元，其中：</w:t>
      </w:r>
      <w:r>
        <w:rPr>
          <w:rFonts w:ascii="仿宋_GB2312" w:hAnsi="仿宋_GB2312" w:eastAsia="仿宋_GB2312"/>
          <w:b/>
          <w:sz w:val="32"/>
        </w:rPr>
        <w:t>人员经费29,408.41万元，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抚恤金、生活补助、奖励金、其他对个人和家庭的补助。</w:t>
      </w:r>
    </w:p>
    <w:p w14:paraId="7FEE2942">
      <w:pPr>
        <w:spacing w:line="580" w:lineRule="exact"/>
        <w:ind w:firstLine="640"/>
        <w:jc w:val="both"/>
      </w:pPr>
      <w:r>
        <w:rPr>
          <w:rFonts w:ascii="仿宋_GB2312" w:hAnsi="仿宋_GB2312" w:eastAsia="仿宋_GB2312"/>
          <w:b/>
          <w:sz w:val="32"/>
        </w:rPr>
        <w:t>公用经费4,295.59万元，</w:t>
      </w:r>
      <w:r>
        <w:rPr>
          <w:rFonts w:ascii="仿宋_GB2312" w:hAnsi="仿宋_GB2312" w:eastAsia="仿宋_GB2312"/>
          <w:b w:val="0"/>
          <w:sz w:val="32"/>
        </w:rPr>
        <w:t>包括：办公费、印刷费、手续费、水费、电费、邮电费、取暖费、物业管理费、差旅费、维修（护）费、租赁费、培训费、专用材料费、劳务费、委托业务费、工会经费、福利费、公务用车运行维护费、其他交通费用、税金及附加费用、其他商品和服务支出。</w:t>
      </w:r>
    </w:p>
    <w:p w14:paraId="39C11845">
      <w:pPr>
        <w:spacing w:line="640" w:lineRule="exact"/>
        <w:ind w:firstLine="640"/>
        <w:jc w:val="both"/>
        <w:outlineLvl w:val="2"/>
      </w:pPr>
      <w:r>
        <w:rPr>
          <w:rFonts w:ascii="黑体" w:hAnsi="黑体" w:eastAsia="黑体"/>
          <w:sz w:val="32"/>
        </w:rPr>
        <w:t>七、政府性基金预算财政拨款收入支出决算情况说明</w:t>
      </w:r>
    </w:p>
    <w:p w14:paraId="4705091E">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人才培养、教学运行、学科建设、科学研究、师资队伍建设、学生资助、基本办学条件改善、校园安全稳定等重点支出，体现在有关支出科目中。</w:t>
      </w:r>
    </w:p>
    <w:p w14:paraId="153418AB">
      <w:pPr>
        <w:spacing w:line="580" w:lineRule="exact"/>
        <w:ind w:firstLine="640"/>
        <w:jc w:val="both"/>
      </w:pPr>
      <w:r>
        <w:rPr>
          <w:rFonts w:ascii="仿宋_GB2312" w:hAnsi="仿宋_GB2312" w:eastAsia="仿宋_GB2312"/>
          <w:b/>
          <w:sz w:val="32"/>
        </w:rPr>
        <w:t>2025年度政府性基金预算财政拨款收入总计13,987.20万元，</w:t>
      </w:r>
      <w:r>
        <w:rPr>
          <w:rFonts w:ascii="仿宋_GB2312" w:hAnsi="仿宋_GB2312" w:eastAsia="仿宋_GB2312"/>
          <w:b w:val="0"/>
          <w:sz w:val="32"/>
        </w:rPr>
        <w:t>其中：年初结转和结余0.00万元，本年收入13,987.20万元。</w:t>
      </w:r>
      <w:r>
        <w:rPr>
          <w:rFonts w:ascii="仿宋_GB2312" w:hAnsi="仿宋_GB2312" w:eastAsia="仿宋_GB2312"/>
          <w:b/>
          <w:sz w:val="32"/>
        </w:rPr>
        <w:t>政府性基金预算财政拨款支出总计13,987.20万元，</w:t>
      </w:r>
      <w:r>
        <w:rPr>
          <w:rFonts w:ascii="仿宋_GB2312" w:hAnsi="仿宋_GB2312" w:eastAsia="仿宋_GB2312"/>
          <w:b w:val="0"/>
          <w:sz w:val="32"/>
        </w:rPr>
        <w:t>其中：年末结转和结余0.00万元，本年支出13,987.20万元。</w:t>
      </w:r>
    </w:p>
    <w:p w14:paraId="2AB660A4">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增加6,974.40万元，增长99.45%，主要原因是：2025年增加和田学院科研中心、大学生双创中心建设项目资金，导致增长率达99.45%。</w:t>
      </w:r>
      <w:r>
        <w:rPr>
          <w:rFonts w:ascii="仿宋_GB2312" w:hAnsi="仿宋_GB2312" w:eastAsia="仿宋_GB2312"/>
          <w:b/>
          <w:sz w:val="32"/>
        </w:rPr>
        <w:t>与年初预算相比，</w:t>
      </w:r>
      <w:r>
        <w:rPr>
          <w:rFonts w:ascii="仿宋_GB2312" w:hAnsi="仿宋_GB2312" w:eastAsia="仿宋_GB2312"/>
          <w:b w:val="0"/>
          <w:sz w:val="32"/>
        </w:rPr>
        <w:t>年初预算数9,987.20万元，决算数13,987.20万元，预决算差异率40.05%，主要原因是：年中追加和田学院科研中心、大学生双创中心建设项目资金支出，导致预决算产生差异。</w:t>
      </w:r>
    </w:p>
    <w:p w14:paraId="4CA04765">
      <w:pPr>
        <w:spacing w:line="580" w:lineRule="exact"/>
        <w:ind w:firstLine="640"/>
        <w:jc w:val="both"/>
      </w:pPr>
      <w:r>
        <w:rPr>
          <w:rFonts w:ascii="仿宋_GB2312" w:hAnsi="仿宋_GB2312" w:eastAsia="仿宋_GB2312"/>
          <w:b w:val="0"/>
          <w:sz w:val="32"/>
        </w:rPr>
        <w:t>政府性基金预算财政拨款本年支出13,987.20万元。具体情况如下：</w:t>
      </w:r>
    </w:p>
    <w:p w14:paraId="7EDD4804">
      <w:pPr>
        <w:spacing w:line="580" w:lineRule="exact"/>
        <w:ind w:firstLine="640"/>
        <w:jc w:val="both"/>
      </w:pPr>
      <w:r>
        <w:rPr>
          <w:rFonts w:ascii="仿宋_GB2312" w:hAnsi="仿宋_GB2312" w:eastAsia="仿宋_GB2312"/>
          <w:b w:val="0"/>
          <w:sz w:val="32"/>
        </w:rPr>
        <w:t>1.教育支出（类）超长期特别国债安排的支出（款）高等教育（项）：支出决算数为9,987.20万元，比上年决算增加9,974.40万元，增长77,925.00%，主要原因是：2025年增加和田学院科研中心、大学生双创中心建设项目资金支出。</w:t>
      </w:r>
    </w:p>
    <w:p w14:paraId="784CD683">
      <w:pPr>
        <w:spacing w:line="580" w:lineRule="exact"/>
        <w:ind w:firstLine="640"/>
        <w:jc w:val="both"/>
      </w:pPr>
      <w:r>
        <w:rPr>
          <w:rFonts w:ascii="仿宋_GB2312" w:hAnsi="仿宋_GB2312" w:eastAsia="仿宋_GB2312"/>
          <w:b w:val="0"/>
          <w:sz w:val="32"/>
        </w:rPr>
        <w:t>2.其他支出（类）其他政府性基金及对应专项债务收入安排的支出（款）其他地方自行试点项目收益专项债券收入安排的支出（项）：支出决算数为4,000.00万元，比上年决算减少3,000.00万元，下降42.86%，主要原因是：本年自治区教育厅地方政府专项债券项目资金减少。</w:t>
      </w:r>
    </w:p>
    <w:p w14:paraId="6EA25E5B">
      <w:pPr>
        <w:spacing w:line="640" w:lineRule="exact"/>
        <w:ind w:firstLine="640"/>
        <w:jc w:val="both"/>
        <w:outlineLvl w:val="2"/>
      </w:pPr>
      <w:r>
        <w:rPr>
          <w:rFonts w:ascii="黑体" w:hAnsi="黑体" w:eastAsia="黑体"/>
          <w:sz w:val="32"/>
        </w:rPr>
        <w:t>八、国有资本经营预算财政拨款收入支出决算情况说明</w:t>
      </w:r>
    </w:p>
    <w:p w14:paraId="43E7D29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16A62C6">
      <w:pPr>
        <w:spacing w:line="640" w:lineRule="exact"/>
        <w:ind w:firstLine="640"/>
        <w:jc w:val="both"/>
        <w:outlineLvl w:val="2"/>
      </w:pPr>
      <w:r>
        <w:rPr>
          <w:rFonts w:ascii="黑体" w:hAnsi="黑体" w:eastAsia="黑体"/>
          <w:sz w:val="32"/>
        </w:rPr>
        <w:t>九、财政拨款“三公”经费支出决算情况说明</w:t>
      </w:r>
    </w:p>
    <w:p w14:paraId="48E1C937">
      <w:pPr>
        <w:spacing w:line="580" w:lineRule="exact"/>
        <w:ind w:firstLine="640"/>
        <w:jc w:val="both"/>
      </w:pPr>
      <w:r>
        <w:rPr>
          <w:rFonts w:ascii="仿宋_GB2312" w:hAnsi="仿宋_GB2312" w:eastAsia="仿宋_GB2312"/>
          <w:b/>
          <w:sz w:val="32"/>
        </w:rPr>
        <w:t>2025年度财政拨款“三公”经费支出37.75万元，</w:t>
      </w:r>
      <w:r>
        <w:rPr>
          <w:rFonts w:ascii="仿宋_GB2312" w:hAnsi="仿宋_GB2312" w:eastAsia="仿宋_GB2312"/>
          <w:b w:val="0"/>
          <w:sz w:val="32"/>
        </w:rPr>
        <w:t>比上年增加20.40万元，增长117.58%，主要原因是：本年度两校合并，本年因业务需求，用车次数增加，燃油费增加，导致公务用车运行维护费较上年增加。其中：因公出国（境）费用支出0.00万元，占0.00%，比上年增加0.00万元，增长0.00%，主要原因是：2024年与2025年均无因公出国（境）费用支出。公务用车购置及运行维护费支出37.75万元，占100.00%，比上年增加20.40万元，增长117.58%，主要原因是：本年度两校合并，本年因业务需求，用车次数增加，燃油费增加，导致公务用车运行维护费较上年增加。公务接待费支出0.00万元，占0.00%，比上年增加0.00万元，增长0.00%，主要原因是：2024年与2025年均无公务接待费支出。</w:t>
      </w:r>
    </w:p>
    <w:p w14:paraId="1162C55E">
      <w:pPr>
        <w:spacing w:line="580" w:lineRule="exact"/>
        <w:ind w:firstLine="640"/>
        <w:jc w:val="both"/>
      </w:pPr>
      <w:r>
        <w:rPr>
          <w:rFonts w:ascii="仿宋_GB2312" w:hAnsi="仿宋_GB2312" w:eastAsia="仿宋_GB2312"/>
          <w:b/>
          <w:sz w:val="32"/>
        </w:rPr>
        <w:t>具体情况如下：</w:t>
      </w:r>
    </w:p>
    <w:p w14:paraId="7C449F43">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19280F19">
      <w:pPr>
        <w:spacing w:line="580" w:lineRule="exact"/>
        <w:ind w:firstLine="640"/>
        <w:jc w:val="both"/>
      </w:pPr>
      <w:r>
        <w:rPr>
          <w:rFonts w:ascii="仿宋_GB2312" w:hAnsi="仿宋_GB2312" w:eastAsia="仿宋_GB2312"/>
          <w:b w:val="0"/>
          <w:sz w:val="32"/>
        </w:rPr>
        <w:t>公务用车购置及运行维护费37.75万元，其中：公务用车购置费0.00万元，公务用车运行维护费37.75万元。公务用车运行维护费开支内容包括燃料费、维修费、保险费、过路费。公务用车购置数0辆，公务用车保有量36辆。国有资产占用情况中固定资产车辆42辆，与公务用车保有量差异原因是：2025年学校对已达到使用年限、经多次维修后仍无法正常使用的车辆按规定办理资产报废处置，预算未安排公务用车运行维护费。</w:t>
      </w:r>
    </w:p>
    <w:p w14:paraId="3090866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50A2DA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37.75万元，决算数37.75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37.75万元，决算数37.75万元，预决算差异率0.00%，主要原因是：严格按照预算执行，预决算无差异。公务接待费全年预算数0.00万元，决算数0.00万元，预决算差异率0.00%，主要原因是：本单位无公务接待费。</w:t>
      </w:r>
    </w:p>
    <w:p w14:paraId="6F14E0A5">
      <w:pPr>
        <w:spacing w:line="640" w:lineRule="exact"/>
        <w:ind w:firstLine="640"/>
        <w:jc w:val="both"/>
        <w:outlineLvl w:val="2"/>
      </w:pPr>
      <w:r>
        <w:rPr>
          <w:rFonts w:ascii="黑体" w:hAnsi="黑体" w:eastAsia="黑体"/>
          <w:sz w:val="32"/>
        </w:rPr>
        <w:t>十、其他重要事项的情况说明</w:t>
      </w:r>
    </w:p>
    <w:p w14:paraId="45FCFE7B">
      <w:pPr>
        <w:spacing w:line="640" w:lineRule="exact"/>
        <w:ind w:firstLine="640"/>
        <w:jc w:val="both"/>
        <w:outlineLvl w:val="3"/>
      </w:pPr>
      <w:r>
        <w:rPr>
          <w:rFonts w:ascii="楷体_GB2312" w:hAnsi="楷体_GB2312" w:eastAsia="楷体_GB2312"/>
          <w:b/>
          <w:sz w:val="32"/>
        </w:rPr>
        <w:t>（一）机关运行经费及公用经费支出情况</w:t>
      </w:r>
    </w:p>
    <w:p w14:paraId="6AB150E7">
      <w:pPr>
        <w:spacing w:line="580" w:lineRule="exact"/>
        <w:ind w:firstLine="640"/>
        <w:jc w:val="both"/>
      </w:pPr>
      <w:r>
        <w:rPr>
          <w:rFonts w:ascii="仿宋_GB2312" w:hAnsi="仿宋_GB2312" w:eastAsia="仿宋_GB2312"/>
          <w:b w:val="0"/>
          <w:sz w:val="32"/>
        </w:rPr>
        <w:t>2025年度新疆和田学院（事业单位）公用经费支出4,295.59万元，比上年增加3,060.97万元，增长247.93%，主要原因是：2025年1月和田师范专科学校与新疆维吾尔医学专科学校资金正式合并，决算报表上年基数仅为原和田师范专科学校数据；随着办学规模扩大，教学实验耗材购置、实训基地运行、校舍物业运维、校园设施修缮维护等公用开支相应增加，公用经费需求同步增长，导致本年公用经费支出增加。</w:t>
      </w:r>
    </w:p>
    <w:p w14:paraId="005D1086">
      <w:pPr>
        <w:spacing w:line="640" w:lineRule="exact"/>
        <w:ind w:firstLine="640"/>
        <w:jc w:val="both"/>
        <w:outlineLvl w:val="3"/>
      </w:pPr>
      <w:r>
        <w:rPr>
          <w:rFonts w:ascii="楷体_GB2312" w:hAnsi="楷体_GB2312" w:eastAsia="楷体_GB2312"/>
          <w:b/>
          <w:sz w:val="32"/>
        </w:rPr>
        <w:t>（二）政府采购情况</w:t>
      </w:r>
    </w:p>
    <w:p w14:paraId="1A2368F3">
      <w:pPr>
        <w:spacing w:line="580" w:lineRule="exact"/>
        <w:ind w:firstLine="640"/>
        <w:jc w:val="both"/>
      </w:pPr>
      <w:r>
        <w:rPr>
          <w:rFonts w:ascii="仿宋_GB2312" w:hAnsi="仿宋_GB2312" w:eastAsia="仿宋_GB2312"/>
          <w:b w:val="0"/>
          <w:sz w:val="32"/>
        </w:rPr>
        <w:t>2025年度政府采购支出总额6,929.78万元，其中：政府采购货物支出4,367.05万元、政府采购工程支出1,043.76万元、政府采购服务支出1,518.97万元。</w:t>
      </w:r>
    </w:p>
    <w:p w14:paraId="550915D8">
      <w:pPr>
        <w:spacing w:line="580" w:lineRule="exact"/>
        <w:ind w:firstLine="640"/>
        <w:jc w:val="both"/>
      </w:pPr>
      <w:r>
        <w:rPr>
          <w:rFonts w:ascii="仿宋_GB2312" w:hAnsi="仿宋_GB2312" w:eastAsia="仿宋_GB2312"/>
          <w:b w:val="0"/>
          <w:sz w:val="32"/>
        </w:rPr>
        <w:t>授予中小企业合同金额2,939.16万元，占政府采购支出总额的42.41%，其中：授予小微企业合同金额2,427.43万元，占政府采购支出总额的35.03%。</w:t>
      </w:r>
    </w:p>
    <w:p w14:paraId="5C0409AB">
      <w:pPr>
        <w:spacing w:line="640" w:lineRule="exact"/>
        <w:ind w:firstLine="640"/>
        <w:jc w:val="both"/>
        <w:outlineLvl w:val="3"/>
      </w:pPr>
      <w:r>
        <w:rPr>
          <w:rFonts w:ascii="楷体_GB2312" w:hAnsi="楷体_GB2312" w:eastAsia="楷体_GB2312"/>
          <w:b/>
          <w:sz w:val="32"/>
        </w:rPr>
        <w:t>（三）国有资产占用情况说明</w:t>
      </w:r>
    </w:p>
    <w:p w14:paraId="034CF291">
      <w:pPr>
        <w:spacing w:line="580" w:lineRule="exact"/>
        <w:ind w:firstLine="640"/>
        <w:jc w:val="both"/>
      </w:pPr>
      <w:r>
        <w:rPr>
          <w:rFonts w:ascii="仿宋_GB2312" w:hAnsi="仿宋_GB2312" w:eastAsia="仿宋_GB2312"/>
          <w:b w:val="0"/>
          <w:sz w:val="32"/>
        </w:rPr>
        <w:t>截至2025年12月31日，房屋370,877.57平方米，价值77,591.99万元。车辆42辆，价值642.02万元，其中：副部（省）级及以上领导用车0辆、主要负责人用车9辆、机要通信用车2辆、应急保障用车0辆、执法执勤用车0辆、特种专业技术用车0辆、离退休干部服务用车0辆、其他用车31辆，其他用车主要是：一般公务用车。单价100万元（含）以上设备（不含车辆）13台（套）。</w:t>
      </w:r>
    </w:p>
    <w:p w14:paraId="229C7099">
      <w:pPr>
        <w:spacing w:line="640" w:lineRule="exact"/>
        <w:ind w:firstLine="640"/>
        <w:jc w:val="both"/>
        <w:outlineLvl w:val="2"/>
      </w:pPr>
      <w:r>
        <w:rPr>
          <w:rFonts w:ascii="黑体" w:hAnsi="黑体" w:eastAsia="黑体"/>
          <w:sz w:val="32"/>
        </w:rPr>
        <w:t>十一、预算绩效的情况说明</w:t>
      </w:r>
    </w:p>
    <w:p w14:paraId="43D1C27C">
      <w:pPr>
        <w:spacing w:line="580" w:lineRule="exact"/>
        <w:ind w:firstLine="640"/>
        <w:jc w:val="both"/>
      </w:pPr>
      <w:r>
        <w:rPr>
          <w:rFonts w:ascii="仿宋_GB2312" w:hAnsi="仿宋_GB2312" w:eastAsia="仿宋_GB2312"/>
          <w:b w:val="0"/>
          <w:sz w:val="32"/>
        </w:rPr>
        <w:t>根据预算绩效管理要求，本单位预算绩效评价项目1个，全年预算数5,895.00万元，全年执行数5,725.39万元。预算绩效管理取得的成效：一是绩效管理意识逐步增强。通过政策宣讲、专题培训等方式加大宣传力度，各项目部门和学院使用财政资金的责任意识明显增强，对绩效评价工作的配合度逐步提升；二是预算编制科学性有所提升。不断改进预算管理方法，强化绩效目标与预算编制的同步推进，预算申报更加规范、完整，项目预算执行更加及时、有效；三是绩效自评工作扎实推进。学校各项目部门按要求完成项目支出绩效自评表和自评报告填报，学校统筹完成部门评价报告的编报工作，绩效管理链条逐步完善。发现的问题及原因：发现的问题：全员绩效管理机制尚未形成。绩效管理仍以财务为主导，各学院、各部门主动参与度不高。原因分析：一是绩效管理宣传培训覆盖面不够广，部分项目负责人对绩效管理的内涵和意义认识不深；二是业财协同联动不够紧密。财务部门与各项目部门之间信息共享不畅，预算执行数据与绩效产出数据互不贯通；三是财务部门与项目部门之间缺乏常态化沟通机制，财务数据反映的是资金支出进度，而业务数据反映的是项目产出进度；四是预算管理及绩效管理还不到位，预算与绩效深度融合的常态化机制尚未形成。下一步改进措施：一是加大预算绩效管理宣传培训力度，提升绩效管理人员的专业素养和实操能力；二是强化业财协同联动。加强财务与各项目部门的常态化沟通机制，推动财务数据与业务数据互通；三是</w:t>
      </w:r>
      <w:r>
        <w:rPr>
          <w:rFonts w:hint="eastAsia" w:ascii="仿宋_GB2312" w:hAnsi="仿宋_GB2312" w:eastAsia="仿宋_GB2312"/>
          <w:b w:val="0"/>
          <w:sz w:val="32"/>
          <w:lang w:eastAsia="zh-CN"/>
        </w:rPr>
        <w:t>增强</w:t>
      </w:r>
      <w:r>
        <w:rPr>
          <w:rFonts w:ascii="仿宋_GB2312" w:hAnsi="仿宋_GB2312" w:eastAsia="仿宋_GB2312"/>
          <w:b w:val="0"/>
          <w:sz w:val="32"/>
        </w:rPr>
        <w:t>预算管理和绩效管理的意识。将绩效理念贯穿预算编制、执行、监督全过程，引导各项目部门从“被动接受评价”向“主动实施绩效管理”转变。加强财务信息化建设。具体附项目支出绩效自评表。</w:t>
      </w:r>
    </w:p>
    <w:p w14:paraId="5A709393">
      <w:r>
        <w:br w:type="page"/>
      </w:r>
    </w:p>
    <w:p w14:paraId="09F2ED13">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0867069D">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62B32EB">
            <w:pPr>
              <w:spacing w:before="0" w:after="0" w:line="240" w:lineRule="auto"/>
              <w:jc w:val="center"/>
            </w:pPr>
            <w:r>
              <w:rPr>
                <w:rFonts w:ascii="宋体" w:hAnsi="宋体" w:eastAsia="宋体"/>
                <w:b/>
                <w:i w:val="0"/>
                <w:sz w:val="32"/>
              </w:rPr>
              <w:t>项目支出绩效自评表</w:t>
            </w:r>
          </w:p>
        </w:tc>
      </w:tr>
      <w:tr w14:paraId="065F6088">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E52294B">
            <w:pPr>
              <w:spacing w:before="0" w:after="0" w:line="240" w:lineRule="auto"/>
              <w:jc w:val="center"/>
            </w:pPr>
            <w:r>
              <w:rPr>
                <w:rFonts w:ascii="宋体" w:hAnsi="宋体" w:eastAsia="宋体"/>
                <w:b w:val="0"/>
                <w:i w:val="0"/>
                <w:sz w:val="22"/>
              </w:rPr>
              <w:t>(2025年度)</w:t>
            </w:r>
          </w:p>
        </w:tc>
      </w:tr>
      <w:tr w14:paraId="3EE5C411">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66E14">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6837AC0E">
            <w:pPr>
              <w:spacing w:before="0" w:after="0" w:line="240" w:lineRule="auto"/>
              <w:jc w:val="center"/>
            </w:pPr>
            <w:r>
              <w:rPr>
                <w:rFonts w:ascii="宋体" w:hAnsi="宋体" w:eastAsia="宋体"/>
                <w:b w:val="0"/>
                <w:i w:val="0"/>
                <w:sz w:val="18"/>
              </w:rPr>
              <w:t>2025年非财政拨款项目</w:t>
            </w:r>
          </w:p>
        </w:tc>
      </w:tr>
      <w:tr w14:paraId="647D118B">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AAE38">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9DC970">
            <w:pPr>
              <w:spacing w:before="0" w:after="0" w:line="240" w:lineRule="auto"/>
              <w:jc w:val="center"/>
            </w:pPr>
            <w:r>
              <w:rPr>
                <w:rFonts w:ascii="宋体" w:hAnsi="宋体" w:eastAsia="宋体"/>
                <w:b w:val="0"/>
                <w:i w:val="0"/>
                <w:sz w:val="18"/>
              </w:rPr>
              <w:t>自治区</w:t>
            </w:r>
            <w:r>
              <w:rPr>
                <w:rFonts w:hint="eastAsia" w:ascii="宋体" w:hAnsi="宋体"/>
                <w:b w:val="0"/>
                <w:i w:val="0"/>
                <w:sz w:val="18"/>
                <w:lang w:val="en-US" w:eastAsia="zh-CN"/>
              </w:rPr>
              <w:t>教育</w:t>
            </w:r>
            <w:r>
              <w:rPr>
                <w:rFonts w:ascii="宋体" w:hAnsi="宋体" w:eastAsia="宋体"/>
                <w:b w:val="0"/>
                <w:i w:val="0"/>
                <w:sz w:val="18"/>
              </w:rPr>
              <w:t>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C688F">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5D11B4">
            <w:pPr>
              <w:spacing w:before="0" w:after="0" w:line="240" w:lineRule="auto"/>
              <w:jc w:val="center"/>
            </w:pPr>
            <w:r>
              <w:rPr>
                <w:rFonts w:ascii="宋体" w:hAnsi="宋体" w:eastAsia="宋体"/>
                <w:b w:val="0"/>
                <w:i w:val="0"/>
                <w:sz w:val="18"/>
              </w:rPr>
              <w:t>新疆和田学院</w:t>
            </w:r>
          </w:p>
        </w:tc>
      </w:tr>
      <w:tr w14:paraId="105A4A34">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8725FF">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9755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AF6F99">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B01C2">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6EDF0">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A97A8">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B2310">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80005A">
            <w:pPr>
              <w:spacing w:before="0" w:after="0" w:line="240" w:lineRule="auto"/>
              <w:jc w:val="center"/>
            </w:pPr>
            <w:r>
              <w:rPr>
                <w:rFonts w:ascii="宋体" w:hAnsi="宋体" w:eastAsia="宋体"/>
                <w:b/>
                <w:i w:val="0"/>
                <w:sz w:val="18"/>
              </w:rPr>
              <w:t>得分</w:t>
            </w:r>
          </w:p>
        </w:tc>
      </w:tr>
      <w:tr w14:paraId="3305396F">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E0A3F9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C8C85">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94490B">
            <w:pPr>
              <w:spacing w:before="0" w:after="0" w:line="240" w:lineRule="auto"/>
              <w:jc w:val="center"/>
            </w:pPr>
            <w:r>
              <w:rPr>
                <w:rFonts w:ascii="宋体" w:hAnsi="宋体" w:eastAsia="宋体"/>
                <w:b w:val="0"/>
                <w:i w:val="0"/>
                <w:sz w:val="18"/>
              </w:rPr>
              <w:t>5,895.00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C9193">
            <w:pPr>
              <w:spacing w:before="0" w:after="0" w:line="240" w:lineRule="auto"/>
              <w:jc w:val="center"/>
            </w:pPr>
            <w:r>
              <w:rPr>
                <w:rFonts w:ascii="宋体" w:hAnsi="宋体" w:eastAsia="宋体"/>
                <w:b w:val="0"/>
                <w:i w:val="0"/>
                <w:sz w:val="18"/>
              </w:rPr>
              <w:t>5,895.00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3E0F6">
            <w:pPr>
              <w:spacing w:before="0" w:after="0" w:line="240" w:lineRule="auto"/>
              <w:jc w:val="center"/>
            </w:pPr>
            <w:r>
              <w:rPr>
                <w:rFonts w:ascii="宋体" w:hAnsi="宋体" w:eastAsia="宋体"/>
                <w:b w:val="0"/>
                <w:i w:val="0"/>
                <w:sz w:val="18"/>
              </w:rPr>
              <w:t>5,725.39</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84DEA">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EFFB0">
            <w:pPr>
              <w:spacing w:before="0" w:after="0" w:line="240" w:lineRule="auto"/>
              <w:jc w:val="center"/>
            </w:pPr>
            <w:r>
              <w:rPr>
                <w:rFonts w:ascii="宋体" w:hAnsi="宋体" w:eastAsia="宋体"/>
                <w:b w:val="0"/>
                <w:i w:val="0"/>
                <w:sz w:val="18"/>
              </w:rPr>
              <w:t>97.12%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DB4D36">
            <w:pPr>
              <w:spacing w:before="0" w:after="0" w:line="240" w:lineRule="auto"/>
              <w:jc w:val="center"/>
            </w:pPr>
            <w:r>
              <w:rPr>
                <w:rFonts w:ascii="宋体" w:hAnsi="宋体" w:eastAsia="宋体"/>
                <w:b w:val="0"/>
                <w:i w:val="0"/>
                <w:sz w:val="18"/>
              </w:rPr>
              <w:t>9.28</w:t>
            </w:r>
          </w:p>
        </w:tc>
      </w:tr>
      <w:tr w14:paraId="44F4430F">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1C44F2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B681B">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64A719">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6BA06">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F50D7">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BEA24">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F510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E58DDA">
            <w:pPr>
              <w:spacing w:before="0" w:after="0" w:line="240" w:lineRule="auto"/>
              <w:jc w:val="center"/>
            </w:pPr>
            <w:r>
              <w:rPr>
                <w:rFonts w:ascii="宋体" w:hAnsi="宋体" w:eastAsia="宋体"/>
                <w:b w:val="0"/>
                <w:i w:val="0"/>
                <w:sz w:val="18"/>
              </w:rPr>
              <w:t>—</w:t>
            </w:r>
          </w:p>
        </w:tc>
      </w:tr>
      <w:tr w14:paraId="1003494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DC54C74"/>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8C5B4">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42C22E">
            <w:pPr>
              <w:spacing w:before="0" w:after="0" w:line="240" w:lineRule="auto"/>
              <w:jc w:val="center"/>
            </w:pPr>
            <w:r>
              <w:rPr>
                <w:rFonts w:ascii="宋体" w:hAnsi="宋体" w:eastAsia="宋体"/>
                <w:b w:val="0"/>
                <w:i w:val="0"/>
                <w:sz w:val="18"/>
              </w:rPr>
              <w:t>5,895.00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6EB6E">
            <w:pPr>
              <w:spacing w:before="0" w:after="0" w:line="240" w:lineRule="auto"/>
              <w:jc w:val="center"/>
            </w:pPr>
            <w:r>
              <w:rPr>
                <w:rFonts w:ascii="宋体" w:hAnsi="宋体" w:eastAsia="宋体"/>
                <w:b w:val="0"/>
                <w:i w:val="0"/>
                <w:sz w:val="18"/>
              </w:rPr>
              <w:t>5,895.00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70D3E">
            <w:pPr>
              <w:spacing w:before="0" w:after="0" w:line="240" w:lineRule="auto"/>
              <w:jc w:val="center"/>
            </w:pPr>
            <w:r>
              <w:rPr>
                <w:rFonts w:ascii="宋体" w:hAnsi="宋体" w:eastAsia="宋体"/>
                <w:b w:val="0"/>
                <w:i w:val="0"/>
                <w:sz w:val="18"/>
              </w:rPr>
              <w:t>5,725.39</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196BF">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8F98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5ECC7E">
            <w:pPr>
              <w:spacing w:before="0" w:after="0" w:line="240" w:lineRule="auto"/>
              <w:jc w:val="center"/>
            </w:pPr>
            <w:r>
              <w:rPr>
                <w:rFonts w:ascii="宋体" w:hAnsi="宋体" w:eastAsia="宋体"/>
                <w:b w:val="0"/>
                <w:i w:val="0"/>
                <w:sz w:val="18"/>
              </w:rPr>
              <w:t>—</w:t>
            </w:r>
          </w:p>
        </w:tc>
      </w:tr>
      <w:tr w14:paraId="6DF1B56A">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D33FB7">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BF33BC">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B03047">
            <w:pPr>
              <w:spacing w:before="0" w:after="0" w:line="240" w:lineRule="auto"/>
              <w:jc w:val="center"/>
            </w:pPr>
            <w:r>
              <w:rPr>
                <w:rFonts w:ascii="宋体" w:hAnsi="宋体" w:eastAsia="宋体"/>
                <w:b/>
                <w:i w:val="0"/>
                <w:sz w:val="18"/>
              </w:rPr>
              <w:t>实际完成情况</w:t>
            </w:r>
          </w:p>
        </w:tc>
      </w:tr>
      <w:tr w14:paraId="2C7D2483">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95EB99"/>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7E356B">
            <w:pPr>
              <w:spacing w:before="0" w:after="0" w:line="240" w:lineRule="auto"/>
              <w:jc w:val="center"/>
            </w:pPr>
            <w:r>
              <w:rPr>
                <w:rFonts w:ascii="宋体" w:hAnsi="宋体" w:eastAsia="宋体"/>
                <w:b w:val="0"/>
                <w:i w:val="0"/>
                <w:sz w:val="18"/>
              </w:rPr>
              <w:t>1.保障学校运转，提高学校教育质量，改善校园条件，推动学校高质量高效率发展。
2.加快新校区硬辅设施高质量建设。缓解贷款压力，有效推动我校高质量建设发展。
3.及时完成校内维修，做好消防、监控维保等工作，推动学校发展，更好</w:t>
            </w:r>
            <w:r>
              <w:rPr>
                <w:rFonts w:hint="eastAsia" w:ascii="宋体" w:hAnsi="宋体"/>
                <w:b w:val="0"/>
                <w:i w:val="0"/>
                <w:sz w:val="18"/>
                <w:lang w:eastAsia="zh-CN"/>
              </w:rPr>
              <w:t>地</w:t>
            </w:r>
            <w:r>
              <w:rPr>
                <w:rFonts w:ascii="宋体" w:hAnsi="宋体" w:eastAsia="宋体"/>
                <w:b w:val="0"/>
                <w:i w:val="0"/>
                <w:sz w:val="18"/>
              </w:rPr>
              <w:t>服务南疆。
4.通过对在校学生的资助补助，减轻学生及家庭经济负担，保障学业顺利完成。提升学校餐厅食堂饭菜质量，保障食品安全。</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FCFF06">
            <w:pPr>
              <w:spacing w:before="0" w:after="0" w:line="240" w:lineRule="auto"/>
              <w:jc w:val="center"/>
            </w:pPr>
            <w:r>
              <w:rPr>
                <w:rFonts w:ascii="宋体" w:hAnsi="宋体" w:eastAsia="宋体"/>
                <w:b w:val="0"/>
                <w:i w:val="0"/>
                <w:sz w:val="18"/>
              </w:rPr>
              <w:t>1.保障学校运转，提高学校教育质量，改善校园条件，推动学校高质量高效率发展。 2.加快新校区硬辅设施高质量建设。缓解贷款压力，有效推动我校高质量建设发展。 3.及时完成校内维修，做好消防、监控维保等工作，推动学校发展，更好</w:t>
            </w:r>
            <w:r>
              <w:rPr>
                <w:rFonts w:hint="eastAsia" w:ascii="宋体" w:hAnsi="宋体"/>
                <w:b w:val="0"/>
                <w:i w:val="0"/>
                <w:sz w:val="18"/>
                <w:lang w:eastAsia="zh-CN"/>
              </w:rPr>
              <w:t>地</w:t>
            </w:r>
            <w:r>
              <w:rPr>
                <w:rFonts w:ascii="宋体" w:hAnsi="宋体" w:eastAsia="宋体"/>
                <w:b w:val="0"/>
                <w:i w:val="0"/>
                <w:sz w:val="18"/>
              </w:rPr>
              <w:t>服务南疆。 4.通过对在校学生的资助补助，减轻学生及家庭经济负担，保障学业顺利完成。提升学校餐厅食堂饭菜质量，保障食品安全。</w:t>
            </w:r>
          </w:p>
        </w:tc>
      </w:tr>
      <w:tr w14:paraId="137B00D7">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FEF716">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A3089B">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C34EF1">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352DCC">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2DB6C3">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197919">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BFFA3B">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C08DAB">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B03BBF">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071BD5">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7D0DE2">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9BBDA3">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BD09B1">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4B06C9">
            <w:pPr>
              <w:keepNext/>
              <w:spacing w:before="0" w:after="0" w:line="240" w:lineRule="auto"/>
              <w:jc w:val="center"/>
            </w:pPr>
            <w:r>
              <w:rPr>
                <w:rFonts w:ascii="宋体" w:hAnsi="宋体" w:eastAsia="宋体"/>
                <w:b/>
                <w:i w:val="0"/>
                <w:sz w:val="18"/>
              </w:rPr>
              <w:t>偏差原因分析及改进措施</w:t>
            </w:r>
          </w:p>
        </w:tc>
      </w:tr>
      <w:tr w14:paraId="47DCFE10">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FD98E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55C69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9723F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AC2EB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8E750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F5CF7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7B1F1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52B2D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A8C12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EB8EF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1C21C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8F58C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5FD6F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012211"/>
        </w:tc>
      </w:tr>
      <w:tr w14:paraId="1C6C1C4C">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45ED35">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133A27">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59FB27">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2FA7FE">
            <w:pPr>
              <w:keepNext/>
              <w:spacing w:before="0" w:after="0" w:line="240" w:lineRule="auto"/>
              <w:jc w:val="center"/>
            </w:pPr>
            <w:r>
              <w:rPr>
                <w:rFonts w:ascii="宋体" w:hAnsi="宋体" w:eastAsia="宋体"/>
                <w:b w:val="0"/>
                <w:i w:val="0"/>
                <w:sz w:val="18"/>
              </w:rPr>
              <w:t>助学金发放人数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CB318A">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0F267B">
            <w:pPr>
              <w:keepNext/>
              <w:spacing w:before="0" w:after="0" w:line="240" w:lineRule="auto"/>
              <w:jc w:val="center"/>
            </w:pPr>
            <w:r>
              <w:rPr>
                <w:rFonts w:ascii="宋体" w:hAnsi="宋体" w:eastAsia="宋体"/>
                <w:b w:val="0"/>
                <w:i w:val="0"/>
                <w:sz w:val="18"/>
              </w:rPr>
              <w:t>&gt;=2281人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C58506">
            <w:pPr>
              <w:keepNext/>
              <w:spacing w:before="0" w:after="0" w:line="240" w:lineRule="auto"/>
              <w:jc w:val="center"/>
            </w:pPr>
            <w:r>
              <w:rPr>
                <w:rFonts w:ascii="宋体" w:hAnsi="宋体" w:eastAsia="宋体"/>
                <w:b w:val="0"/>
                <w:i w:val="0"/>
                <w:sz w:val="18"/>
              </w:rPr>
              <w:t>=2281人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FC48BD">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4A8943">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E5BBB6">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152249">
            <w:pPr>
              <w:keepNext/>
              <w:spacing w:before="0" w:after="0" w:line="240" w:lineRule="auto"/>
              <w:jc w:val="center"/>
            </w:pPr>
            <w:r>
              <w:rPr>
                <w:rFonts w:ascii="宋体" w:hAnsi="宋体" w:eastAsia="宋体"/>
                <w:b w:val="0"/>
                <w:i w:val="0"/>
                <w:sz w:val="18"/>
              </w:rPr>
              <w:t>2161人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3BE29A">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A76F16">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59D2F1">
            <w:pPr>
              <w:keepNext/>
              <w:spacing w:before="0" w:after="0" w:line="240" w:lineRule="auto"/>
              <w:jc w:val="center"/>
            </w:pPr>
          </w:p>
        </w:tc>
      </w:tr>
      <w:tr w14:paraId="05C3A76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F4771C">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67FC7B">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905FD0">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B68EF5">
            <w:pPr>
              <w:keepNext/>
              <w:spacing w:before="0" w:after="0" w:line="240" w:lineRule="auto"/>
              <w:jc w:val="center"/>
            </w:pPr>
            <w:r>
              <w:rPr>
                <w:rFonts w:ascii="宋体" w:hAnsi="宋体" w:eastAsia="宋体"/>
                <w:b w:val="0"/>
                <w:i w:val="0"/>
                <w:sz w:val="18"/>
              </w:rPr>
              <w:t>伙食补助人数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100098">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4BF8EF">
            <w:pPr>
              <w:keepNext/>
              <w:spacing w:before="0" w:after="0" w:line="240" w:lineRule="auto"/>
              <w:jc w:val="center"/>
            </w:pPr>
            <w:r>
              <w:rPr>
                <w:rFonts w:ascii="宋体" w:hAnsi="宋体" w:eastAsia="宋体"/>
                <w:b w:val="0"/>
                <w:i w:val="0"/>
                <w:sz w:val="18"/>
              </w:rPr>
              <w:t>&gt;=20078人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CB510C">
            <w:pPr>
              <w:keepNext/>
              <w:spacing w:before="0" w:after="0" w:line="240" w:lineRule="auto"/>
              <w:jc w:val="center"/>
            </w:pPr>
            <w:r>
              <w:rPr>
                <w:rFonts w:ascii="宋体" w:hAnsi="宋体" w:eastAsia="宋体"/>
                <w:b w:val="0"/>
                <w:i w:val="0"/>
                <w:sz w:val="18"/>
              </w:rPr>
              <w:t>=20078人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23735D">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65DA41">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F348ED">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0DE481">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91DAB5">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6E2B87">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E7CC78">
            <w:pPr>
              <w:keepNext/>
              <w:spacing w:before="0" w:after="0" w:line="240" w:lineRule="auto"/>
              <w:jc w:val="center"/>
            </w:pPr>
          </w:p>
        </w:tc>
      </w:tr>
      <w:tr w14:paraId="6C41993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A773E3">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BC5695">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E1AB18">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2228EA">
            <w:pPr>
              <w:keepNext/>
              <w:spacing w:before="0" w:after="0" w:line="240" w:lineRule="auto"/>
              <w:jc w:val="center"/>
            </w:pPr>
            <w:r>
              <w:rPr>
                <w:rFonts w:ascii="宋体" w:hAnsi="宋体" w:eastAsia="宋体"/>
                <w:b w:val="0"/>
                <w:i w:val="0"/>
                <w:sz w:val="18"/>
              </w:rPr>
              <w:t>维修维护项目数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995EE2">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7151D4">
            <w:pPr>
              <w:keepNext/>
              <w:spacing w:before="0" w:after="0" w:line="240" w:lineRule="auto"/>
              <w:jc w:val="center"/>
            </w:pPr>
            <w:r>
              <w:rPr>
                <w:rFonts w:ascii="宋体" w:hAnsi="宋体" w:eastAsia="宋体"/>
                <w:b w:val="0"/>
                <w:i w:val="0"/>
                <w:sz w:val="18"/>
              </w:rPr>
              <w:t>&gt;=24个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7DD2CD">
            <w:pPr>
              <w:keepNext/>
              <w:spacing w:before="0" w:after="0" w:line="240" w:lineRule="auto"/>
              <w:jc w:val="center"/>
            </w:pPr>
            <w:r>
              <w:rPr>
                <w:rFonts w:ascii="宋体" w:hAnsi="宋体" w:eastAsia="宋体"/>
                <w:b w:val="0"/>
                <w:i w:val="0"/>
                <w:sz w:val="18"/>
              </w:rPr>
              <w:t>=16个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BE497E">
            <w:pPr>
              <w:keepNext/>
              <w:spacing w:before="0" w:after="0" w:line="240" w:lineRule="auto"/>
              <w:jc w:val="center"/>
            </w:pPr>
            <w:r>
              <w:rPr>
                <w:rFonts w:ascii="宋体" w:hAnsi="宋体" w:eastAsia="宋体"/>
                <w:b w:val="0"/>
                <w:i w:val="0"/>
                <w:sz w:val="18"/>
              </w:rPr>
              <w:t>66.67%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21114F">
            <w:pPr>
              <w:keepNext/>
              <w:spacing w:before="0" w:after="0" w:line="240" w:lineRule="auto"/>
              <w:jc w:val="center"/>
            </w:pPr>
            <w:r>
              <w:rPr>
                <w:rFonts w:ascii="宋体" w:hAnsi="宋体" w:eastAsia="宋体"/>
                <w:b w:val="0"/>
                <w:i w:val="0"/>
                <w:sz w:val="18"/>
              </w:rPr>
              <w:t>0.83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EE78DF">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A6EC28">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AC3583">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CCAB71">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052DF8">
            <w:pPr>
              <w:keepNext/>
              <w:spacing w:before="0" w:after="0" w:line="240" w:lineRule="auto"/>
              <w:jc w:val="center"/>
            </w:pPr>
            <w:r>
              <w:rPr>
                <w:rFonts w:ascii="宋体" w:hAnsi="宋体" w:eastAsia="宋体"/>
                <w:b w:val="0"/>
                <w:i w:val="0"/>
                <w:sz w:val="18"/>
              </w:rPr>
              <w:t>计划前瞻性不足</w:t>
            </w:r>
          </w:p>
        </w:tc>
      </w:tr>
      <w:tr w14:paraId="6941CF6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716D8F">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3F19FF">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B1C020">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596492">
            <w:pPr>
              <w:keepNext/>
              <w:spacing w:before="0" w:after="0" w:line="240" w:lineRule="auto"/>
              <w:jc w:val="center"/>
            </w:pPr>
            <w:r>
              <w:rPr>
                <w:rFonts w:ascii="宋体" w:hAnsi="宋体" w:eastAsia="宋体"/>
                <w:b w:val="0"/>
                <w:i w:val="0"/>
                <w:sz w:val="18"/>
              </w:rPr>
              <w:t>保障学校食堂数量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AD0B11">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97E375">
            <w:pPr>
              <w:keepNext/>
              <w:spacing w:before="0" w:after="0" w:line="240" w:lineRule="auto"/>
              <w:jc w:val="center"/>
            </w:pPr>
            <w:r>
              <w:rPr>
                <w:rFonts w:ascii="宋体" w:hAnsi="宋体" w:eastAsia="宋体"/>
                <w:b w:val="0"/>
                <w:i w:val="0"/>
                <w:sz w:val="18"/>
              </w:rPr>
              <w:t>&gt;=3个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8C1A7C">
            <w:pPr>
              <w:keepNext/>
              <w:spacing w:before="0" w:after="0" w:line="240" w:lineRule="auto"/>
              <w:jc w:val="center"/>
            </w:pPr>
            <w:r>
              <w:rPr>
                <w:rFonts w:ascii="宋体" w:hAnsi="宋体" w:eastAsia="宋体"/>
                <w:b w:val="0"/>
                <w:i w:val="0"/>
                <w:sz w:val="18"/>
              </w:rPr>
              <w:t>=3个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CA3EC8">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32F615">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6F8916">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72616B">
            <w:pPr>
              <w:keepNext/>
              <w:spacing w:before="0" w:after="0" w:line="240" w:lineRule="auto"/>
              <w:jc w:val="center"/>
            </w:pPr>
            <w:r>
              <w:rPr>
                <w:rFonts w:ascii="宋体" w:hAnsi="宋体" w:eastAsia="宋体"/>
                <w:b w:val="0"/>
                <w:i w:val="0"/>
                <w:sz w:val="18"/>
              </w:rPr>
              <w:t>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8DD667">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2E5BB1">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665595">
            <w:pPr>
              <w:keepNext/>
              <w:spacing w:before="0" w:after="0" w:line="240" w:lineRule="auto"/>
              <w:jc w:val="center"/>
            </w:pPr>
          </w:p>
        </w:tc>
      </w:tr>
      <w:tr w14:paraId="578E7BE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04EE10">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1A6C37">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450DF9">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EC021D">
            <w:pPr>
              <w:keepNext/>
              <w:spacing w:before="0" w:after="0" w:line="240" w:lineRule="auto"/>
              <w:jc w:val="center"/>
            </w:pPr>
            <w:r>
              <w:rPr>
                <w:rFonts w:ascii="宋体" w:hAnsi="宋体" w:eastAsia="宋体"/>
                <w:b w:val="0"/>
                <w:i w:val="0"/>
                <w:sz w:val="18"/>
              </w:rPr>
              <w:t>设备采购数量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7D4941">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C3C7D7">
            <w:pPr>
              <w:keepNext/>
              <w:spacing w:before="0" w:after="0" w:line="240" w:lineRule="auto"/>
              <w:jc w:val="center"/>
            </w:pPr>
            <w:r>
              <w:rPr>
                <w:rFonts w:ascii="宋体" w:hAnsi="宋体" w:eastAsia="宋体"/>
                <w:b w:val="0"/>
                <w:i w:val="0"/>
                <w:sz w:val="18"/>
              </w:rPr>
              <w:t>&gt;=1447个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CA41E1">
            <w:pPr>
              <w:keepNext/>
              <w:spacing w:before="0" w:after="0" w:line="240" w:lineRule="auto"/>
              <w:jc w:val="center"/>
            </w:pPr>
            <w:r>
              <w:rPr>
                <w:rFonts w:ascii="宋体" w:hAnsi="宋体" w:eastAsia="宋体"/>
                <w:b w:val="0"/>
                <w:i w:val="0"/>
                <w:sz w:val="18"/>
              </w:rPr>
              <w:t>=1447个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4A7D7B">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8D4990">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8AFF46">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DEC4CA">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AAB0F5">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1D4315">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42CE46">
            <w:pPr>
              <w:keepNext/>
              <w:spacing w:before="0" w:after="0" w:line="240" w:lineRule="auto"/>
              <w:jc w:val="center"/>
            </w:pPr>
          </w:p>
        </w:tc>
      </w:tr>
      <w:tr w14:paraId="30D1473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B4B14F">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DF22A4">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81EF5B">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5B60C4">
            <w:pPr>
              <w:keepNext/>
              <w:spacing w:before="0" w:after="0" w:line="240" w:lineRule="auto"/>
              <w:jc w:val="center"/>
            </w:pPr>
            <w:r>
              <w:rPr>
                <w:rFonts w:ascii="宋体" w:hAnsi="宋体" w:eastAsia="宋体"/>
                <w:b w:val="0"/>
                <w:i w:val="0"/>
                <w:sz w:val="18"/>
              </w:rPr>
              <w:t>还本付息次数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BC522C">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CB57FF">
            <w:pPr>
              <w:keepNext/>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C7D1A2">
            <w:pPr>
              <w:keepNext/>
              <w:spacing w:before="0" w:after="0" w:line="240" w:lineRule="auto"/>
              <w:jc w:val="center"/>
            </w:pPr>
            <w:r>
              <w:rPr>
                <w:rFonts w:ascii="宋体" w:hAnsi="宋体" w:eastAsia="宋体"/>
                <w:b w:val="0"/>
                <w:i w:val="0"/>
                <w:sz w:val="18"/>
              </w:rPr>
              <w:t>=12次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BCE402">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46405A">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C9B170">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5BFB70">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FBAD3A">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80AE25">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DB60AC">
            <w:pPr>
              <w:keepNext/>
              <w:spacing w:before="0" w:after="0" w:line="240" w:lineRule="auto"/>
              <w:jc w:val="center"/>
            </w:pPr>
          </w:p>
        </w:tc>
      </w:tr>
      <w:tr w14:paraId="447BCCA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65F9BC">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32ECF6">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E29C31">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51F450">
            <w:pPr>
              <w:keepNext/>
              <w:spacing w:before="0" w:after="0" w:line="240" w:lineRule="auto"/>
              <w:jc w:val="center"/>
            </w:pPr>
            <w:r>
              <w:rPr>
                <w:rFonts w:ascii="宋体" w:hAnsi="宋体" w:eastAsia="宋体"/>
                <w:b w:val="0"/>
                <w:i w:val="0"/>
                <w:sz w:val="18"/>
              </w:rPr>
              <w:t>设备验收合格率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F04E0C">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A98725">
            <w:pPr>
              <w:keepNext/>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5E2D57">
            <w:pPr>
              <w:keepNext/>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28D5EA">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9D4076">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6BE2FE">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36673A">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A37EA7">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14A4B1">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35E9CE">
            <w:pPr>
              <w:keepNext/>
              <w:spacing w:before="0" w:after="0" w:line="240" w:lineRule="auto"/>
              <w:jc w:val="center"/>
            </w:pPr>
          </w:p>
        </w:tc>
      </w:tr>
      <w:tr w14:paraId="2478D90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4AA64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709C8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48509C">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D2C19E">
            <w:pPr>
              <w:spacing w:before="0" w:after="0" w:line="240" w:lineRule="auto"/>
              <w:jc w:val="center"/>
            </w:pPr>
            <w:r>
              <w:rPr>
                <w:rFonts w:ascii="宋体" w:hAnsi="宋体" w:eastAsia="宋体"/>
                <w:b w:val="0"/>
                <w:i w:val="0"/>
                <w:sz w:val="18"/>
              </w:rPr>
              <w:t>还本付息逾期天数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29B5D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DB2F6D">
            <w:pPr>
              <w:spacing w:before="0" w:after="0" w:line="240" w:lineRule="auto"/>
              <w:jc w:val="center"/>
            </w:pPr>
            <w:r>
              <w:rPr>
                <w:rFonts w:ascii="宋体" w:hAnsi="宋体" w:eastAsia="宋体"/>
                <w:b w:val="0"/>
                <w:i w:val="0"/>
                <w:sz w:val="18"/>
              </w:rPr>
              <w:t>&lt;=1天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5B8226">
            <w:pPr>
              <w:spacing w:before="0" w:after="0" w:line="240" w:lineRule="auto"/>
              <w:jc w:val="center"/>
            </w:pPr>
            <w:r>
              <w:rPr>
                <w:rFonts w:ascii="宋体" w:hAnsi="宋体" w:eastAsia="宋体"/>
                <w:b w:val="0"/>
                <w:i w:val="0"/>
                <w:sz w:val="18"/>
              </w:rPr>
              <w:t>=1天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8B781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5315E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D9BD4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9FBF41">
            <w:pPr>
              <w:spacing w:before="0" w:after="0" w:line="240" w:lineRule="auto"/>
              <w:jc w:val="center"/>
            </w:pPr>
            <w:r>
              <w:rPr>
                <w:rFonts w:ascii="宋体" w:hAnsi="宋体" w:eastAsia="宋体"/>
                <w:b w:val="0"/>
                <w:i w:val="0"/>
                <w:sz w:val="18"/>
              </w:rPr>
              <w:t>0天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69480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6A8D6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264557">
            <w:pPr>
              <w:spacing w:before="0" w:after="0" w:line="240" w:lineRule="auto"/>
              <w:jc w:val="center"/>
            </w:pPr>
          </w:p>
        </w:tc>
      </w:tr>
      <w:tr w14:paraId="7FF3C68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779B83A">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C12C21">
            <w:pPr>
              <w:keepNext/>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FACABF">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DD921C">
            <w:pPr>
              <w:keepNext/>
              <w:spacing w:before="0" w:after="0" w:line="240" w:lineRule="auto"/>
              <w:jc w:val="center"/>
            </w:pPr>
            <w:r>
              <w:rPr>
                <w:rFonts w:ascii="宋体" w:hAnsi="宋体" w:eastAsia="宋体"/>
                <w:b w:val="0"/>
                <w:i w:val="0"/>
                <w:sz w:val="18"/>
              </w:rPr>
              <w:t>助学金人均发放标准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719ECC">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DF9A4A">
            <w:pPr>
              <w:keepNext/>
              <w:spacing w:before="0" w:after="0" w:line="240" w:lineRule="auto"/>
              <w:jc w:val="center"/>
            </w:pPr>
            <w:r>
              <w:rPr>
                <w:rFonts w:ascii="宋体" w:hAnsi="宋体" w:eastAsia="宋体"/>
                <w:b w:val="0"/>
                <w:i w:val="0"/>
                <w:sz w:val="18"/>
              </w:rPr>
              <w:t>=2400-4800元/生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69AF56">
            <w:pPr>
              <w:keepNext/>
              <w:spacing w:before="0" w:after="0" w:line="240" w:lineRule="auto"/>
              <w:jc w:val="center"/>
            </w:pPr>
            <w:r>
              <w:rPr>
                <w:rFonts w:ascii="宋体" w:hAnsi="宋体" w:eastAsia="宋体"/>
                <w:b w:val="0"/>
                <w:i w:val="0"/>
                <w:sz w:val="18"/>
              </w:rPr>
              <w:t>=2400-4800元/生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081A92">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A7C98F">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534221">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B9642B">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275663">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B20C82">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CB6FE4">
            <w:pPr>
              <w:keepNext/>
              <w:spacing w:before="0" w:after="0" w:line="240" w:lineRule="auto"/>
              <w:jc w:val="center"/>
            </w:pPr>
          </w:p>
        </w:tc>
      </w:tr>
      <w:tr w14:paraId="11AC1BF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07FD257">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2DB091">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313790">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D1CE93">
            <w:pPr>
              <w:keepNext/>
              <w:spacing w:before="0" w:after="0" w:line="240" w:lineRule="auto"/>
              <w:jc w:val="center"/>
            </w:pPr>
            <w:r>
              <w:rPr>
                <w:rFonts w:ascii="宋体" w:hAnsi="宋体" w:eastAsia="宋体"/>
                <w:b w:val="0"/>
                <w:i w:val="0"/>
                <w:sz w:val="18"/>
              </w:rPr>
              <w:t>采购办公电脑标准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94DA10">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B0F255">
            <w:pPr>
              <w:keepNext/>
              <w:spacing w:before="0" w:after="0" w:line="240" w:lineRule="auto"/>
              <w:jc w:val="center"/>
            </w:pPr>
            <w:r>
              <w:rPr>
                <w:rFonts w:ascii="宋体" w:hAnsi="宋体" w:eastAsia="宋体"/>
                <w:b w:val="0"/>
                <w:i w:val="0"/>
                <w:sz w:val="18"/>
              </w:rPr>
              <w:t>&lt;=4500元/台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A27A97">
            <w:pPr>
              <w:keepNext/>
              <w:spacing w:before="0" w:after="0" w:line="240" w:lineRule="auto"/>
              <w:jc w:val="center"/>
            </w:pPr>
            <w:r>
              <w:rPr>
                <w:rFonts w:ascii="宋体" w:hAnsi="宋体" w:eastAsia="宋体"/>
                <w:b w:val="0"/>
                <w:i w:val="0"/>
                <w:sz w:val="18"/>
              </w:rPr>
              <w:t>=4500元/台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C14BF1">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32F772">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9C921B">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D7A976">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9C87F3">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B2C6F3">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7832C0">
            <w:pPr>
              <w:keepNext/>
              <w:spacing w:before="0" w:after="0" w:line="240" w:lineRule="auto"/>
              <w:jc w:val="center"/>
            </w:pPr>
          </w:p>
        </w:tc>
      </w:tr>
      <w:tr w14:paraId="55CDB87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B90A5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73FA2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AF1FC7">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DE7EE5">
            <w:pPr>
              <w:spacing w:before="0" w:after="0" w:line="240" w:lineRule="auto"/>
              <w:jc w:val="center"/>
            </w:pPr>
            <w:r>
              <w:rPr>
                <w:rFonts w:ascii="宋体" w:hAnsi="宋体" w:eastAsia="宋体"/>
                <w:b w:val="0"/>
                <w:i w:val="0"/>
                <w:sz w:val="18"/>
              </w:rPr>
              <w:t>伙食补助人均发放标准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16185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EA3ECD">
            <w:pPr>
              <w:spacing w:before="0" w:after="0" w:line="240" w:lineRule="auto"/>
              <w:jc w:val="center"/>
            </w:pPr>
            <w:r>
              <w:rPr>
                <w:rFonts w:ascii="宋体" w:hAnsi="宋体" w:eastAsia="宋体"/>
                <w:b w:val="0"/>
                <w:i w:val="0"/>
                <w:sz w:val="18"/>
              </w:rPr>
              <w:t>=350元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78E373">
            <w:pPr>
              <w:spacing w:before="0" w:after="0" w:line="240" w:lineRule="auto"/>
              <w:jc w:val="center"/>
            </w:pPr>
            <w:r>
              <w:rPr>
                <w:rFonts w:ascii="宋体" w:hAnsi="宋体" w:eastAsia="宋体"/>
                <w:b w:val="0"/>
                <w:i w:val="0"/>
                <w:sz w:val="18"/>
              </w:rPr>
              <w:t>=350元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CFE16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D392C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284CE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1D4F53">
            <w:pPr>
              <w:spacing w:before="0" w:after="0" w:line="240" w:lineRule="auto"/>
              <w:jc w:val="center"/>
            </w:pPr>
            <w:r>
              <w:rPr>
                <w:rFonts w:ascii="宋体" w:hAnsi="宋体" w:eastAsia="宋体"/>
                <w:b w:val="0"/>
                <w:i w:val="0"/>
                <w:sz w:val="18"/>
              </w:rPr>
              <w:t>350元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502DD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622D4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C68BC1">
            <w:pPr>
              <w:spacing w:before="0" w:after="0" w:line="240" w:lineRule="auto"/>
              <w:jc w:val="center"/>
            </w:pPr>
          </w:p>
        </w:tc>
      </w:tr>
      <w:tr w14:paraId="3F50533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7E777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0E0D67">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91FC8C">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1ED837">
            <w:pPr>
              <w:spacing w:before="0" w:after="0" w:line="240" w:lineRule="auto"/>
              <w:jc w:val="center"/>
            </w:pPr>
            <w:r>
              <w:rPr>
                <w:rFonts w:ascii="宋体" w:hAnsi="宋体" w:eastAsia="宋体"/>
                <w:b w:val="0"/>
                <w:i w:val="0"/>
                <w:sz w:val="18"/>
              </w:rPr>
              <w:t>有效减轻家庭负担</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E60EF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E9907F">
            <w:pPr>
              <w:spacing w:before="0" w:after="0" w:line="240" w:lineRule="auto"/>
              <w:jc w:val="center"/>
            </w:pPr>
            <w:r>
              <w:rPr>
                <w:rFonts w:ascii="宋体" w:hAnsi="宋体" w:eastAsia="宋体"/>
                <w:b w:val="0"/>
                <w:i w:val="0"/>
                <w:sz w:val="18"/>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1BF36F">
            <w:pPr>
              <w:spacing w:before="0" w:after="0" w:line="240" w:lineRule="auto"/>
              <w:jc w:val="center"/>
            </w:pPr>
            <w:r>
              <w:rPr>
                <w:rFonts w:ascii="宋体" w:hAnsi="宋体" w:eastAsia="宋体"/>
                <w:b w:val="0"/>
                <w:i w:val="0"/>
                <w:sz w:val="18"/>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B7B94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0193D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4021B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5A3B24">
            <w:pPr>
              <w:spacing w:before="0" w:after="0" w:line="240" w:lineRule="auto"/>
              <w:jc w:val="center"/>
            </w:pPr>
            <w:r>
              <w:rPr>
                <w:rFonts w:ascii="宋体" w:hAnsi="宋体" w:eastAsia="宋体"/>
                <w:b w:val="0"/>
                <w:i w:val="0"/>
                <w:sz w:val="18"/>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32DF3E">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EC86A4">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93D95C">
            <w:pPr>
              <w:spacing w:before="0" w:after="0" w:line="240" w:lineRule="auto"/>
              <w:jc w:val="center"/>
            </w:pPr>
          </w:p>
        </w:tc>
      </w:tr>
      <w:tr w14:paraId="7D504D6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42806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FF7B97">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6A35ED">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43868E">
            <w:pPr>
              <w:spacing w:before="0" w:after="0" w:line="240" w:lineRule="auto"/>
              <w:jc w:val="center"/>
            </w:pPr>
            <w:r>
              <w:rPr>
                <w:rFonts w:ascii="宋体" w:hAnsi="宋体" w:eastAsia="宋体"/>
                <w:b w:val="0"/>
                <w:i w:val="0"/>
                <w:sz w:val="18"/>
              </w:rPr>
              <w:t>师生满意度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D344D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9884FF">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7EB307">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32ED4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375DB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963D4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73B190">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482A69">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9E8C6F">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E118D9">
            <w:pPr>
              <w:spacing w:before="0" w:after="0" w:line="240" w:lineRule="auto"/>
              <w:jc w:val="center"/>
            </w:pPr>
          </w:p>
        </w:tc>
      </w:tr>
      <w:tr w14:paraId="750346BA">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668A51A">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4B7DB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C7AD7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8DF42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AF699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3A64A9">
            <w:pPr>
              <w:spacing w:before="0" w:after="0" w:line="240" w:lineRule="auto"/>
              <w:jc w:val="center"/>
            </w:pPr>
            <w:r>
              <w:rPr>
                <w:rFonts w:ascii="宋体" w:hAnsi="宋体" w:eastAsia="宋体"/>
                <w:b w:val="0"/>
                <w:i w:val="0"/>
                <w:sz w:val="18"/>
              </w:rPr>
              <w:t>95.11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DFCA7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78C1F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DFBD6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0E46B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C09470">
            <w:pPr>
              <w:spacing w:before="0" w:after="0" w:line="240" w:lineRule="auto"/>
              <w:jc w:val="center"/>
            </w:pPr>
          </w:p>
        </w:tc>
      </w:tr>
    </w:tbl>
    <w:p w14:paraId="3721795D">
      <w:r>
        <w:br w:type="page"/>
      </w:r>
    </w:p>
    <w:p w14:paraId="446C1817">
      <w:pPr>
        <w:sectPr>
          <w:type w:val="continuous"/>
          <w:pgSz w:w="11906" w:h="16838"/>
          <w:pgMar w:top="1440" w:right="1800" w:bottom="1440" w:left="1800" w:header="851" w:footer="992" w:gutter="0"/>
          <w:cols w:space="720" w:num="1"/>
          <w:docGrid w:type="lines" w:linePitch="312" w:charSpace="0"/>
        </w:sectPr>
      </w:pPr>
    </w:p>
    <w:p w14:paraId="0BC03349">
      <w:pPr>
        <w:spacing w:line="640" w:lineRule="exact"/>
        <w:ind w:firstLine="640"/>
        <w:jc w:val="both"/>
        <w:outlineLvl w:val="2"/>
      </w:pPr>
      <w:r>
        <w:rPr>
          <w:rFonts w:ascii="黑体" w:hAnsi="黑体" w:eastAsia="黑体"/>
          <w:sz w:val="32"/>
        </w:rPr>
        <w:t>十二、其他需说明的事项</w:t>
      </w:r>
    </w:p>
    <w:p w14:paraId="215A9E02">
      <w:pPr>
        <w:spacing w:line="580" w:lineRule="exact"/>
        <w:ind w:firstLine="640"/>
        <w:jc w:val="both"/>
      </w:pPr>
      <w:r>
        <w:rPr>
          <w:rFonts w:ascii="仿宋_GB2312" w:hAnsi="仿宋_GB2312" w:eastAsia="仿宋_GB2312"/>
          <w:b w:val="0"/>
          <w:sz w:val="32"/>
        </w:rPr>
        <w:t>本单位无其他需说明的事项。</w:t>
      </w:r>
    </w:p>
    <w:p w14:paraId="238FE6C4">
      <w:r>
        <w:br w:type="page"/>
      </w:r>
    </w:p>
    <w:p w14:paraId="335C845A">
      <w:pPr>
        <w:spacing w:line="600" w:lineRule="exact"/>
        <w:jc w:val="center"/>
        <w:outlineLvl w:val="0"/>
      </w:pPr>
      <w:r>
        <w:rPr>
          <w:rFonts w:ascii="黑体" w:hAnsi="黑体" w:eastAsia="黑体"/>
          <w:sz w:val="32"/>
        </w:rPr>
        <w:t>第三部分 专业名词解释</w:t>
      </w:r>
    </w:p>
    <w:p w14:paraId="510102B1">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4CD225F9">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AF8E6F2">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366E17A5">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1F25B63">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0F9E1284">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4E3BEFF6">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64D3CC9D">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0126E662">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18DDF6CA">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4EFC2B37">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1AE98E6F">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7034090A">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52FC3816">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4D163A3F">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4DAD7D33">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0292955D">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7E793662">
      <w:r>
        <w:br w:type="page"/>
      </w:r>
    </w:p>
    <w:p w14:paraId="7D9A1119">
      <w:pPr>
        <w:spacing w:line="240" w:lineRule="auto"/>
        <w:jc w:val="center"/>
        <w:outlineLvl w:val="1"/>
      </w:pPr>
      <w:r>
        <w:rPr>
          <w:rFonts w:ascii="黑体" w:hAnsi="黑体" w:eastAsia="黑体"/>
          <w:sz w:val="32"/>
        </w:rPr>
        <w:t>第四部分 部门决算报表（见附表）</w:t>
      </w:r>
    </w:p>
    <w:p w14:paraId="31C8BAE7">
      <w:pPr>
        <w:autoSpaceDE w:val="0"/>
        <w:autoSpaceDN w:val="0"/>
        <w:spacing w:line="600" w:lineRule="exact"/>
        <w:ind w:firstLine="640" w:firstLineChars="200"/>
      </w:pPr>
      <w:r>
        <w:rPr>
          <w:rFonts w:ascii="仿宋_GB2312" w:hAnsi="仿宋_GB2312" w:eastAsia="仿宋_GB2312"/>
          <w:b w:val="0"/>
          <w:sz w:val="32"/>
        </w:rPr>
        <w:t>一、《收入支出决算总表》</w:t>
      </w:r>
    </w:p>
    <w:p w14:paraId="30DB1102">
      <w:pPr>
        <w:autoSpaceDE w:val="0"/>
        <w:autoSpaceDN w:val="0"/>
        <w:spacing w:line="600" w:lineRule="exact"/>
        <w:ind w:firstLine="640" w:firstLineChars="200"/>
      </w:pPr>
      <w:r>
        <w:rPr>
          <w:rFonts w:ascii="仿宋_GB2312" w:hAnsi="仿宋_GB2312" w:eastAsia="仿宋_GB2312"/>
          <w:b w:val="0"/>
          <w:sz w:val="32"/>
        </w:rPr>
        <w:t>二、《收入决算表》</w:t>
      </w:r>
    </w:p>
    <w:p w14:paraId="52C93C2C">
      <w:pPr>
        <w:autoSpaceDE w:val="0"/>
        <w:autoSpaceDN w:val="0"/>
        <w:spacing w:line="600" w:lineRule="exact"/>
        <w:ind w:firstLine="640" w:firstLineChars="200"/>
      </w:pPr>
      <w:r>
        <w:rPr>
          <w:rFonts w:ascii="仿宋_GB2312" w:hAnsi="仿宋_GB2312" w:eastAsia="仿宋_GB2312"/>
          <w:b w:val="0"/>
          <w:sz w:val="32"/>
        </w:rPr>
        <w:t>三、《支出决算表》</w:t>
      </w:r>
    </w:p>
    <w:p w14:paraId="1B5DEB63">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096B0F97">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266AB140">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4BD9B4EA">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41A37A3E">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4574942F">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3EB9E2DF">
      <w:pPr>
        <w:autoSpaceDE w:val="0"/>
        <w:autoSpaceDN w:val="0"/>
        <w:spacing w:line="600" w:lineRule="exact"/>
        <w:ind w:firstLine="640" w:firstLineChars="200"/>
      </w:pPr>
    </w:p>
    <w:p w14:paraId="173327C8">
      <w:pPr>
        <w:autoSpaceDE w:val="0"/>
        <w:autoSpaceDN w:val="0"/>
        <w:spacing w:line="600" w:lineRule="exact"/>
        <w:ind w:firstLine="640" w:firstLineChars="200"/>
      </w:pPr>
    </w:p>
    <w:p w14:paraId="2A0F0A26">
      <w:pPr>
        <w:autoSpaceDE w:val="0"/>
        <w:autoSpaceDN w:val="0"/>
        <w:spacing w:line="600" w:lineRule="exact"/>
        <w:ind w:firstLine="640" w:firstLineChars="200"/>
      </w:pPr>
    </w:p>
    <w:p w14:paraId="21CDFE22">
      <w:pPr>
        <w:autoSpaceDE w:val="0"/>
        <w:autoSpaceDN w:val="0"/>
        <w:spacing w:line="600" w:lineRule="exact"/>
        <w:ind w:firstLine="640" w:firstLineChars="200"/>
      </w:pPr>
    </w:p>
    <w:p w14:paraId="4551326F">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130AFA1-D96B-4140-A1AD-3D68C6A2C19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E948028C-4C55-4B2B-AEFD-47762D1E7B7A}"/>
  </w:font>
  <w:font w:name="仿宋_GB2312">
    <w:panose1 w:val="02010609030101010101"/>
    <w:charset w:val="86"/>
    <w:family w:val="modern"/>
    <w:pitch w:val="default"/>
    <w:sig w:usb0="00000001" w:usb1="080E0000" w:usb2="00000000" w:usb3="00000000" w:csb0="00040000" w:csb1="00000000"/>
    <w:embedRegular r:id="rId3" w:fontKey="{62C8A13A-9900-45ED-9065-E5F17D90EE94}"/>
  </w:font>
  <w:font w:name="楷体_GB2312">
    <w:altName w:val="楷体"/>
    <w:panose1 w:val="00000000000000000000"/>
    <w:charset w:val="00"/>
    <w:family w:val="auto"/>
    <w:pitch w:val="default"/>
    <w:sig w:usb0="00000000" w:usb1="00000000" w:usb2="00000000" w:usb3="00000000" w:csb0="00000000" w:csb1="00000000"/>
    <w:embedRegular r:id="rId4" w:fontKey="{CAB98FD6-A331-444E-87DD-88C97A54F7F7}"/>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7E126B6"/>
    <w:rsid w:val="282459E2"/>
    <w:rsid w:val="291675CA"/>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E281854"/>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ac47293b-2c5c-41e4-b548-ddeb3392e86f</errorID>
      <errorWord>《关于新疆和田学院机构编制方案的批复》</errorWord>
      <group>L1_Official</group>
      <groupName>公文问题</groupName>
      <ability>L2_Official</ability>
      <abilityName>公文问题</abilityName>
      <candidateList/>
      <explain>公文文件引用格式不规范</explain>
      <paraID>3DC79C01</paraID>
      <start>126</start>
      <end>145</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b10cb94c-0fd8-44de-b3a5-ba05099cd5de}">
  <ds:schemaRefs/>
</ds:datastoreItem>
</file>

<file path=docProps/app.xml><?xml version="1.0" encoding="utf-8"?>
<Properties xmlns="http://schemas.openxmlformats.org/officeDocument/2006/extended-properties" xmlns:vt="http://schemas.openxmlformats.org/officeDocument/2006/docPropsVTypes">
  <Template>Normal.dotm</Template>
  <Pages>26</Pages>
  <Words>10034</Words>
  <Characters>11384</Characters>
  <Lines>10</Lines>
  <Paragraphs>2</Paragraphs>
  <TotalTime>2</TotalTime>
  <ScaleCrop>false</ScaleCrop>
  <LinksUpToDate>false</LinksUpToDate>
  <CharactersWithSpaces>11397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U</cp:lastModifiedBy>
  <cp:lastPrinted>2024-07-22T11:58:00Z</cp:lastPrinted>
  <dcterms:modified xsi:type="dcterms:W3CDTF">2026-09-03T03:45:11Z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eyJoZGlkIjoiMzEwNTM5NzYwMDRjMzkwZTVkZjY2ODkwMGIxNGU0OTUiLCJ1c2VySWQiOiIyNDE2NzgwOTkifQ==</vt:lpwstr>
  </property>
</Properties>
</file>