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bookmarkStart w:id="0" w:name="_GoBack"/>
      <w:bookmarkEnd w:id="0"/>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伊犁师范大学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55B4FC2">
      <w:r>
        <w:br w:type="page"/>
      </w:r>
    </w:p>
    <w:p w14:paraId="5EAD1585">
      <w:pPr>
        <w:spacing w:line="640" w:lineRule="exact"/>
        <w:jc w:val="center"/>
        <w:outlineLvl w:val="1"/>
      </w:pPr>
      <w:r>
        <w:rPr>
          <w:rFonts w:ascii="黑体" w:hAnsi="黑体" w:eastAsia="黑体"/>
          <w:sz w:val="32"/>
        </w:rPr>
        <w:t>第一部分 单位概况</w:t>
      </w:r>
    </w:p>
    <w:p w14:paraId="0C501B60">
      <w:pPr>
        <w:spacing w:line="640" w:lineRule="exact"/>
        <w:ind w:firstLine="640"/>
        <w:jc w:val="both"/>
        <w:outlineLvl w:val="2"/>
      </w:pPr>
      <w:r>
        <w:rPr>
          <w:rFonts w:ascii="黑体" w:hAnsi="黑体" w:eastAsia="黑体"/>
          <w:sz w:val="32"/>
        </w:rPr>
        <w:t>一、主要职能</w:t>
      </w:r>
    </w:p>
    <w:p w14:paraId="52C13220">
      <w:pPr>
        <w:spacing w:line="580" w:lineRule="exact"/>
        <w:ind w:firstLine="640"/>
        <w:jc w:val="both"/>
      </w:pPr>
      <w:r>
        <w:rPr>
          <w:rFonts w:ascii="仿宋_GB2312" w:hAnsi="仿宋_GB2312" w:eastAsia="仿宋_GB2312"/>
          <w:sz w:val="32"/>
        </w:rPr>
        <w:t>伊犁师范大学是教育部、江苏省人民政府与新疆维吾尔自治区人民政府共建高校。长期以来，学校全面贯彻党的教育方针，坚持“用胡杨精神育人、为兴疆固边服务”，扎根边疆78载为社会培养了近14万名政治可靠、专业过硬、扎根边疆、甘于奉献的各民族优秀人才，充分发挥了戍边固边、稳边安边的历史作用，为新疆特别是伊犁州的教育发展、经济繁荣、社会稳定、民族团结提供了智力支撑和人才保障，尤其是为边疆基础教育事业发展作出了极为重要的贡献，被誉为“天山脚下人才摇篮伊犁河畔教育名校”。学校曾荣获“全国五四红旗团委”“全国扶残助残先进集体”“全国绿化模范单位”“自治区民族团结先进集体”“自治区党建工作示范高校”等荣誉称号。按照教育部对我校的办学要求，学校确立了“建成区内外有重要影响的新时代高水平师范大学”的办学定位，明确了“培养区域经济社会发展所需要的技术技能型、应用型、复合型人才”的总目标，确立了“建设扎根边疆、服务边疆的新时代高水平师范大学”的发展目标定位。学校设有18个实体学院，另有土木工程学院、机械工程学院、矿业工程学院3个备案筹建学院。现有64个本科专业，涉及10个学科门类。现有10个一级学科硕士学位授权点和8个专业硕士学位授权点，覆盖58个二级学科（专业领域）。拥有3个自治区“十三五”重点学科；1个国家高等学校特色专业建设点，2个自治区紧缺人才重点专业；有4个国家级一流本科专业建设点、10个自治区级一流本科专业建设点、3个自治区重点专业，1门国家级一流本科课程，22门自治区级一流本科课程。现有各级各类科研平台70个，其中省部级以上科研平台（含培育）10个，分别是自治区重点实验室3个、自治区工程中心1个、自治区普通高校人文社会科学研究重点基地1个、教育部国别和区域研究中心1个（备案）、国家民委</w:t>
      </w:r>
      <w:r>
        <w:rPr>
          <w:rFonts w:hint="eastAsia" w:ascii="仿宋_GB2312" w:hAnsi="仿宋_GB2312" w:eastAsia="仿宋_GB2312"/>
          <w:sz w:val="32"/>
          <w:lang w:eastAsia="zh-CN"/>
        </w:rPr>
        <w:t>“一带一路”</w:t>
      </w:r>
      <w:r>
        <w:rPr>
          <w:rFonts w:ascii="仿宋_GB2312" w:hAnsi="仿宋_GB2312" w:eastAsia="仿宋_GB2312"/>
          <w:sz w:val="32"/>
        </w:rPr>
        <w:t>国别和区域研究中心（培育）1个、自治区教育系统“铸牢中华民族共同体意识研究与实践基地”1个、自治区人大常委会立法研究咨询基地1个、与伊犁州共建平台1个；厅局级科研平台1个，即自治区教育厅重点实验室2个；伊犁州科研平台4个；校级科研平台45个。有自治区级现代产业学院1个。</w:t>
      </w:r>
    </w:p>
    <w:p w14:paraId="495AF619">
      <w:pPr>
        <w:spacing w:line="640" w:lineRule="exact"/>
        <w:ind w:firstLine="640"/>
        <w:jc w:val="both"/>
        <w:outlineLvl w:val="2"/>
      </w:pPr>
      <w:r>
        <w:rPr>
          <w:rFonts w:ascii="黑体" w:hAnsi="黑体" w:eastAsia="黑体"/>
          <w:sz w:val="32"/>
        </w:rPr>
        <w:t>二、机构设置</w:t>
      </w:r>
    </w:p>
    <w:p w14:paraId="26D1A110">
      <w:pPr>
        <w:spacing w:line="580" w:lineRule="exact"/>
        <w:ind w:firstLine="640"/>
        <w:jc w:val="both"/>
      </w:pPr>
      <w:r>
        <w:rPr>
          <w:rFonts w:ascii="仿宋_GB2312" w:hAnsi="仿宋_GB2312" w:eastAsia="仿宋_GB2312"/>
          <w:sz w:val="32"/>
        </w:rPr>
        <w:t>伊犁师范大学无下属预算单位。</w:t>
      </w:r>
    </w:p>
    <w:p w14:paraId="0C5D566E">
      <w:r>
        <w:br w:type="page"/>
      </w:r>
    </w:p>
    <w:p w14:paraId="33D02EEB">
      <w:pPr>
        <w:spacing w:line="240" w:lineRule="auto"/>
        <w:jc w:val="center"/>
        <w:outlineLvl w:val="1"/>
      </w:pPr>
      <w:r>
        <w:rPr>
          <w:rFonts w:ascii="黑体" w:hAnsi="黑体" w:eastAsia="黑体"/>
          <w:sz w:val="32"/>
        </w:rPr>
        <w:t>第二部分 部门决算情况说明</w:t>
      </w:r>
    </w:p>
    <w:p w14:paraId="458EE873">
      <w:pPr>
        <w:spacing w:line="640" w:lineRule="exact"/>
        <w:ind w:firstLine="640"/>
        <w:jc w:val="both"/>
        <w:outlineLvl w:val="2"/>
      </w:pPr>
      <w:r>
        <w:rPr>
          <w:rFonts w:ascii="黑体" w:hAnsi="黑体" w:eastAsia="黑体"/>
          <w:sz w:val="32"/>
        </w:rPr>
        <w:t>一、收入支出决算总体情况说明</w:t>
      </w:r>
    </w:p>
    <w:p w14:paraId="042B2375">
      <w:pPr>
        <w:spacing w:line="580" w:lineRule="exact"/>
        <w:ind w:firstLine="640"/>
        <w:jc w:val="both"/>
      </w:pPr>
      <w:r>
        <w:rPr>
          <w:rFonts w:ascii="仿宋_GB2312" w:hAnsi="仿宋_GB2312" w:eastAsia="仿宋_GB2312"/>
          <w:b/>
          <w:sz w:val="32"/>
        </w:rPr>
        <w:t>2025年度收入总计109,282.97万元，</w:t>
      </w:r>
      <w:r>
        <w:rPr>
          <w:rFonts w:ascii="仿宋_GB2312" w:hAnsi="仿宋_GB2312" w:eastAsia="仿宋_GB2312"/>
          <w:b w:val="0"/>
          <w:sz w:val="32"/>
        </w:rPr>
        <w:t>其中：本年收入合计96,400.05万元，使用非财政拨款结余（含专用结余）0.00万元，年初结转和结余12,882.92万元。</w:t>
      </w:r>
    </w:p>
    <w:p w14:paraId="47960CA3">
      <w:pPr>
        <w:spacing w:line="580" w:lineRule="exact"/>
        <w:ind w:firstLine="640"/>
        <w:jc w:val="both"/>
      </w:pPr>
      <w:r>
        <w:rPr>
          <w:rFonts w:ascii="仿宋_GB2312" w:hAnsi="仿宋_GB2312" w:eastAsia="仿宋_GB2312"/>
          <w:b/>
          <w:sz w:val="32"/>
        </w:rPr>
        <w:t>2025年度支出总计109,282.97万元，</w:t>
      </w:r>
      <w:r>
        <w:rPr>
          <w:rFonts w:ascii="仿宋_GB2312" w:hAnsi="仿宋_GB2312" w:eastAsia="仿宋_GB2312"/>
          <w:b w:val="0"/>
          <w:sz w:val="32"/>
        </w:rPr>
        <w:t>其中：本年支出合计103,568.77万元，结余分配0.00万元，年末结转和结余5,714.20万元。</w:t>
      </w:r>
    </w:p>
    <w:p w14:paraId="06B0B2F6">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23,079.94万元，增长26.77%，主要原因是：（1）收入变动原因：一是财政拨款收入较上年有所增加，学生人数增加使生均拨款、国家及自治区各类学生奖助学金等较上年增加，各类财政拨款项目较上年增加，主要增加的项目有中央基建投资预算项目（东校区7-12号学生宿舍楼）、银龄教师补助专项经费等；二是事业收入较上年增加，主要是教育收费较上年增幅较大；三是其他项目收入较上年增加，主要根据食堂零租赁管理改革，相应将食堂往来结算模式改为收支全口径核算模式，其他收入增加，继续教育学院承接各类培训项目增加，产教融合项目较上年增加。（2）支出变动原因：因本年人才引进力度加大，相应人员经费支出增加，东校区新建楼宇全面投入使用，相应日常保障及水电暖物业支出增加。项目支出较上年增加因基建项目开支增幅明显，建成了产学研基地、7-8号学生宿舍楼、南区餐厅，9-12号学生宿舍楼及配套设施也在建设中；中央支持地方高校改革发展专项执行进度加快；学生奖助学金支出增加；人才引进规模较大，兑现人才待遇增加。</w:t>
      </w:r>
    </w:p>
    <w:p w14:paraId="4E3D5B7C">
      <w:pPr>
        <w:spacing w:line="640" w:lineRule="exact"/>
        <w:ind w:firstLine="640"/>
        <w:jc w:val="both"/>
        <w:outlineLvl w:val="2"/>
      </w:pPr>
      <w:r>
        <w:rPr>
          <w:rFonts w:ascii="黑体" w:hAnsi="黑体" w:eastAsia="黑体"/>
          <w:sz w:val="32"/>
        </w:rPr>
        <w:t>二、收入决算情况说明</w:t>
      </w:r>
    </w:p>
    <w:p w14:paraId="238DFFC2">
      <w:pPr>
        <w:spacing w:line="580" w:lineRule="exact"/>
        <w:ind w:firstLine="640"/>
        <w:jc w:val="both"/>
      </w:pPr>
      <w:r>
        <w:rPr>
          <w:rFonts w:ascii="仿宋_GB2312" w:hAnsi="仿宋_GB2312" w:eastAsia="仿宋_GB2312"/>
          <w:b/>
          <w:sz w:val="32"/>
        </w:rPr>
        <w:t>本年收入96,400.05万元，</w:t>
      </w:r>
      <w:r>
        <w:rPr>
          <w:rFonts w:ascii="仿宋_GB2312" w:hAnsi="仿宋_GB2312" w:eastAsia="仿宋_GB2312"/>
          <w:b w:val="0"/>
          <w:sz w:val="32"/>
        </w:rPr>
        <w:t>其中：财政拨款收入67,805.71万元，占70.34%；上级补助收入0.00万元，占0.00%；事业收入20,641.03万元，占21.41%；经营收入0.00万元，占0.00%；附属单位上缴收入0.00万元，占0.00%；其他收入7,953.31万元，占8.25%。</w:t>
      </w:r>
    </w:p>
    <w:p w14:paraId="4FC7C7E5">
      <w:pPr>
        <w:spacing w:line="640" w:lineRule="exact"/>
        <w:ind w:firstLine="640"/>
        <w:jc w:val="both"/>
        <w:outlineLvl w:val="2"/>
      </w:pPr>
      <w:r>
        <w:rPr>
          <w:rFonts w:ascii="黑体" w:hAnsi="黑体" w:eastAsia="黑体"/>
          <w:sz w:val="32"/>
        </w:rPr>
        <w:t>三、支出决算情况说明</w:t>
      </w:r>
    </w:p>
    <w:p w14:paraId="193D8647">
      <w:pPr>
        <w:spacing w:line="580" w:lineRule="exact"/>
        <w:ind w:firstLine="640"/>
        <w:jc w:val="both"/>
      </w:pPr>
      <w:r>
        <w:rPr>
          <w:rFonts w:ascii="仿宋_GB2312" w:hAnsi="仿宋_GB2312" w:eastAsia="仿宋_GB2312"/>
          <w:b/>
          <w:sz w:val="32"/>
        </w:rPr>
        <w:t>本年支出103,568.77万元，</w:t>
      </w:r>
      <w:r>
        <w:rPr>
          <w:rFonts w:ascii="仿宋_GB2312" w:hAnsi="仿宋_GB2312" w:eastAsia="仿宋_GB2312"/>
          <w:b w:val="0"/>
          <w:sz w:val="32"/>
        </w:rPr>
        <w:t>其中：基本支出49,454.83万元，占47.75%；项目支出54,113.94万元，占52.25%；上缴上级支出0.00万元，占0.00%；经营支出0.00万元，占0.00%；对附属单位补助支出0.00万元，占0.00%。</w:t>
      </w:r>
    </w:p>
    <w:p w14:paraId="40EC99DF">
      <w:pPr>
        <w:spacing w:line="640" w:lineRule="exact"/>
        <w:ind w:firstLine="640"/>
        <w:jc w:val="both"/>
        <w:outlineLvl w:val="2"/>
      </w:pPr>
      <w:r>
        <w:rPr>
          <w:rFonts w:ascii="黑体" w:hAnsi="黑体" w:eastAsia="黑体"/>
          <w:sz w:val="32"/>
        </w:rPr>
        <w:t>四、财政拨款收入支出决算总体情况说明</w:t>
      </w:r>
    </w:p>
    <w:p w14:paraId="28102B96">
      <w:pPr>
        <w:spacing w:line="580" w:lineRule="exact"/>
        <w:ind w:firstLine="640"/>
        <w:jc w:val="both"/>
      </w:pPr>
      <w:r>
        <w:rPr>
          <w:rFonts w:ascii="仿宋_GB2312" w:hAnsi="仿宋_GB2312" w:eastAsia="仿宋_GB2312"/>
          <w:b/>
          <w:sz w:val="32"/>
        </w:rPr>
        <w:t>2025年度财政拨款收入总计77,556.79万元，</w:t>
      </w:r>
      <w:r>
        <w:rPr>
          <w:rFonts w:ascii="仿宋_GB2312" w:hAnsi="仿宋_GB2312" w:eastAsia="仿宋_GB2312"/>
          <w:b w:val="0"/>
          <w:sz w:val="32"/>
        </w:rPr>
        <w:t>其中：年初财政拨款结转和结余9,751.08万元，本年财政拨款收入67,805.71万元。</w:t>
      </w:r>
      <w:r>
        <w:rPr>
          <w:rFonts w:ascii="仿宋_GB2312" w:hAnsi="仿宋_GB2312" w:eastAsia="仿宋_GB2312"/>
          <w:b/>
          <w:sz w:val="32"/>
        </w:rPr>
        <w:t>财政拨款支出总计77,556.79万元，</w:t>
      </w:r>
      <w:r>
        <w:rPr>
          <w:rFonts w:ascii="仿宋_GB2312" w:hAnsi="仿宋_GB2312" w:eastAsia="仿宋_GB2312"/>
          <w:b w:val="0"/>
          <w:sz w:val="32"/>
        </w:rPr>
        <w:t>其中：年末财政拨款结转和结余2,892.08万元，本年财政拨款支出74,664.71万元。</w:t>
      </w:r>
    </w:p>
    <w:p w14:paraId="5B81E3F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13,846.79万元，增长21.73%，主要原因是：（1）财政拨款收入变动原因：因学生人数增加使生均拨款增加，国家及自治区各类学生奖助学金等较上年增加；各类财政拨款项目较上年增加，中央基建投资预算项目（东校区7-12号学生宿舍楼）增幅较大；追加25-26学年高校银龄教师补助专项经费；新增政府性基金预算财政拨款收入。（2）财政拨款支出变动原因：一是人员规模扩大，本年新增教职工、引进高层次人才以及银龄教师、特聘教授等人数增加，相应人员经费支出随之增长；二是项目建设持续推进，本年度学校新工科产学研基地建设完工、7-8号学生宿舍楼投入使用、9-12号楼启动建设，相应的中央基本建设项目资金支出较上年大幅增加；三是学生规模扩大，学生人数增加导致奖助学金、大学生医疗补助等相关支出规模相应增大。</w:t>
      </w:r>
      <w:r>
        <w:rPr>
          <w:rFonts w:ascii="仿宋_GB2312" w:hAnsi="仿宋_GB2312" w:eastAsia="仿宋_GB2312"/>
          <w:b/>
          <w:sz w:val="32"/>
        </w:rPr>
        <w:t>与年初预算相比，</w:t>
      </w:r>
      <w:r>
        <w:rPr>
          <w:rFonts w:ascii="仿宋_GB2312" w:hAnsi="仿宋_GB2312" w:eastAsia="仿宋_GB2312"/>
          <w:b w:val="0"/>
          <w:sz w:val="32"/>
        </w:rPr>
        <w:t>年初预算数52,549.54万元，决算数77,556.79万元，预决算差异率47.59%，主要原因是：年初在编制预算时，因项目存在不确定性，无法完全预计学校财政拨付项目资金额，在“以收定支”的原则下，不会安排无预算的项目支出，只有根据项目的实际情况和资金到账情况再进行追加预算安排支出，年中追加东校区“新工科”产学研基地建设项目、东校区7、8号学生宿舍楼建设项目、东校区9-12号学生宿舍楼建设项目等支出，导致预决算产生差异。</w:t>
      </w:r>
    </w:p>
    <w:p w14:paraId="7CC94C7C">
      <w:pPr>
        <w:spacing w:line="640" w:lineRule="exact"/>
        <w:ind w:firstLine="640"/>
        <w:jc w:val="both"/>
        <w:outlineLvl w:val="2"/>
      </w:pPr>
      <w:r>
        <w:rPr>
          <w:rFonts w:ascii="黑体" w:hAnsi="黑体" w:eastAsia="黑体"/>
          <w:sz w:val="32"/>
        </w:rPr>
        <w:t>五、一般公共预算财政拨款支出决算情况说明</w:t>
      </w:r>
    </w:p>
    <w:p w14:paraId="27DEA2EA">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学校教育教学支出，符合学校性质及发展现状等重点支出，体现在有关支出科目中。</w:t>
      </w:r>
    </w:p>
    <w:p w14:paraId="0651017F">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按照支出功能分类，教育支出（类）普通教育（款）高等教育（项）的支出占本年财政拨款支出总额的比重最高，2025年度决算数为73,339.13万元，占比98.22%，主要用于人员经费、基建项目、学生奖助学金等支出。</w:t>
      </w:r>
    </w:p>
    <w:p w14:paraId="7923BCE9">
      <w:pPr>
        <w:spacing w:line="640" w:lineRule="exact"/>
        <w:ind w:firstLine="640"/>
        <w:jc w:val="both"/>
        <w:outlineLvl w:val="3"/>
      </w:pPr>
      <w:r>
        <w:rPr>
          <w:rFonts w:ascii="楷体_GB2312" w:hAnsi="楷体_GB2312" w:eastAsia="楷体_GB2312"/>
          <w:b/>
          <w:sz w:val="32"/>
        </w:rPr>
        <w:t>（一）一般公共预算财政拨款支出决算总体情况</w:t>
      </w:r>
    </w:p>
    <w:p w14:paraId="7D0C43D8">
      <w:pPr>
        <w:spacing w:line="580" w:lineRule="exact"/>
        <w:ind w:firstLine="640"/>
        <w:jc w:val="both"/>
      </w:pPr>
      <w:r>
        <w:rPr>
          <w:rFonts w:ascii="仿宋_GB2312" w:hAnsi="仿宋_GB2312" w:eastAsia="仿宋_GB2312"/>
          <w:b/>
          <w:sz w:val="32"/>
        </w:rPr>
        <w:t>2025年度一般公共预算财政拨款支出74,541.70万元，</w:t>
      </w:r>
      <w:r>
        <w:rPr>
          <w:rFonts w:ascii="仿宋_GB2312" w:hAnsi="仿宋_GB2312" w:eastAsia="仿宋_GB2312"/>
          <w:b w:val="0"/>
          <w:sz w:val="32"/>
        </w:rPr>
        <w:t>占本年支出合计的71.97%。</w:t>
      </w:r>
      <w:r>
        <w:rPr>
          <w:rFonts w:ascii="仿宋_GB2312" w:hAnsi="仿宋_GB2312" w:eastAsia="仿宋_GB2312"/>
          <w:b/>
          <w:sz w:val="32"/>
        </w:rPr>
        <w:t>与上年相比，</w:t>
      </w:r>
      <w:r>
        <w:rPr>
          <w:rFonts w:ascii="仿宋_GB2312" w:hAnsi="仿宋_GB2312" w:eastAsia="仿宋_GB2312"/>
          <w:b w:val="0"/>
          <w:sz w:val="32"/>
        </w:rPr>
        <w:t>增加20,810.83万元，增长38.73%，主要原因是：一是人员规模扩大，本年新增教职工、引进高层次人才以及银龄教师、特聘教授等人数增加，相应人员经费支出随之增长；二是项目建设持续推进，本年度学校新工科产学研基地建设完工、7-8号学生宿舍楼投入使用、9-12号楼启动建设，相应的中央基本建设项目资金支出较上年大幅增加；三是学生规模扩大，学生人数增加导致奖助学金、大学生医疗补助等相关支出规模相应增加。</w:t>
      </w:r>
      <w:r>
        <w:rPr>
          <w:rFonts w:ascii="仿宋_GB2312" w:hAnsi="仿宋_GB2312" w:eastAsia="仿宋_GB2312"/>
          <w:b/>
          <w:sz w:val="32"/>
        </w:rPr>
        <w:t>与年初预算相比，</w:t>
      </w:r>
      <w:r>
        <w:rPr>
          <w:rFonts w:ascii="仿宋_GB2312" w:hAnsi="仿宋_GB2312" w:eastAsia="仿宋_GB2312"/>
          <w:b w:val="0"/>
          <w:sz w:val="32"/>
        </w:rPr>
        <w:t>年初预算数52,473.94万元，决算数74,541.70万元，预决算差异率42.05%，主要原因是：年初在编制预算时，因项目存在不确定性，无法完全预计学校财政拨付项目资金额，在“以收定支”的原则下，不会安排无预算的项目支出，只有根据项目的实际情况和资金到账情况再进行追加预算安排支出，年中追加东校区“新工科”产学研基地建设项目、东校区7、8号学生宿舍楼建设项目、东校区9-12号学生宿舍楼建设项目等支出，导致预决算产生差异。</w:t>
      </w:r>
    </w:p>
    <w:p w14:paraId="11AE9D44">
      <w:pPr>
        <w:spacing w:line="640" w:lineRule="exact"/>
        <w:ind w:firstLine="640"/>
        <w:jc w:val="both"/>
        <w:outlineLvl w:val="3"/>
      </w:pPr>
      <w:r>
        <w:rPr>
          <w:rFonts w:ascii="楷体_GB2312" w:hAnsi="楷体_GB2312" w:eastAsia="楷体_GB2312"/>
          <w:b/>
          <w:sz w:val="32"/>
        </w:rPr>
        <w:t>（二）一般公共预算财政拨款支出决算结构情况</w:t>
      </w:r>
    </w:p>
    <w:p w14:paraId="50A66B53">
      <w:pPr>
        <w:spacing w:line="580" w:lineRule="exact"/>
        <w:ind w:firstLine="640"/>
        <w:jc w:val="both"/>
      </w:pPr>
      <w:r>
        <w:rPr>
          <w:rFonts w:ascii="仿宋_GB2312" w:hAnsi="仿宋_GB2312" w:eastAsia="仿宋_GB2312"/>
          <w:b w:val="0"/>
          <w:sz w:val="32"/>
        </w:rPr>
        <w:t>1.教育支出（类）73,405.33万元，占98.48%。</w:t>
      </w:r>
    </w:p>
    <w:p w14:paraId="622893EB">
      <w:pPr>
        <w:spacing w:line="580" w:lineRule="exact"/>
        <w:ind w:firstLine="640"/>
        <w:jc w:val="both"/>
      </w:pPr>
      <w:r>
        <w:rPr>
          <w:rFonts w:ascii="仿宋_GB2312" w:hAnsi="仿宋_GB2312" w:eastAsia="仿宋_GB2312"/>
          <w:b w:val="0"/>
          <w:sz w:val="32"/>
        </w:rPr>
        <w:t>2.科学技术支出（类）976.14万元，占1.31%。</w:t>
      </w:r>
    </w:p>
    <w:p w14:paraId="4713F8EB">
      <w:pPr>
        <w:spacing w:line="580" w:lineRule="exact"/>
        <w:ind w:firstLine="640"/>
        <w:jc w:val="both"/>
      </w:pPr>
      <w:r>
        <w:rPr>
          <w:rFonts w:ascii="仿宋_GB2312" w:hAnsi="仿宋_GB2312" w:eastAsia="仿宋_GB2312"/>
          <w:b w:val="0"/>
          <w:sz w:val="32"/>
        </w:rPr>
        <w:t>3.文化旅游体育与传媒支出（类）41.71万元，占0.06%。</w:t>
      </w:r>
    </w:p>
    <w:p w14:paraId="5D01E5ED">
      <w:pPr>
        <w:spacing w:line="580" w:lineRule="exact"/>
        <w:ind w:firstLine="640"/>
        <w:jc w:val="both"/>
      </w:pPr>
      <w:r>
        <w:rPr>
          <w:rFonts w:ascii="仿宋_GB2312" w:hAnsi="仿宋_GB2312" w:eastAsia="仿宋_GB2312"/>
          <w:b w:val="0"/>
          <w:sz w:val="32"/>
        </w:rPr>
        <w:t>4.社会保障和就业支出（类）104.86万元，占0.14%。</w:t>
      </w:r>
    </w:p>
    <w:p w14:paraId="2ACB6442">
      <w:pPr>
        <w:spacing w:line="580" w:lineRule="exact"/>
        <w:ind w:firstLine="640"/>
        <w:jc w:val="both"/>
      </w:pPr>
      <w:r>
        <w:rPr>
          <w:rFonts w:ascii="仿宋_GB2312" w:hAnsi="仿宋_GB2312" w:eastAsia="仿宋_GB2312"/>
          <w:b w:val="0"/>
          <w:sz w:val="32"/>
        </w:rPr>
        <w:t>5.卫生健康支出（类）1.16万元，占0.002%。</w:t>
      </w:r>
    </w:p>
    <w:p w14:paraId="72EC2111">
      <w:pPr>
        <w:spacing w:line="580" w:lineRule="exact"/>
        <w:ind w:firstLine="640"/>
        <w:jc w:val="both"/>
      </w:pPr>
      <w:r>
        <w:rPr>
          <w:rFonts w:ascii="仿宋_GB2312" w:hAnsi="仿宋_GB2312" w:eastAsia="仿宋_GB2312"/>
          <w:b w:val="0"/>
          <w:sz w:val="32"/>
        </w:rPr>
        <w:t>6.农林水支出（类）12.50万元，占0.02%。</w:t>
      </w:r>
    </w:p>
    <w:p w14:paraId="64ED0552">
      <w:pPr>
        <w:spacing w:line="640" w:lineRule="exact"/>
        <w:ind w:firstLine="640"/>
        <w:jc w:val="both"/>
        <w:outlineLvl w:val="3"/>
      </w:pPr>
      <w:r>
        <w:rPr>
          <w:rFonts w:ascii="楷体_GB2312" w:hAnsi="楷体_GB2312" w:eastAsia="楷体_GB2312"/>
          <w:b/>
          <w:sz w:val="32"/>
        </w:rPr>
        <w:t>（三）一般公共预算财政拨款支出决算具体情况</w:t>
      </w:r>
    </w:p>
    <w:p w14:paraId="26D456B4">
      <w:pPr>
        <w:spacing w:line="580" w:lineRule="exact"/>
        <w:ind w:firstLine="640"/>
        <w:jc w:val="both"/>
      </w:pPr>
      <w:r>
        <w:rPr>
          <w:rFonts w:ascii="仿宋_GB2312" w:hAnsi="仿宋_GB2312" w:eastAsia="仿宋_GB2312"/>
          <w:b w:val="0"/>
          <w:sz w:val="32"/>
        </w:rPr>
        <w:t>1.教育支出（类）普通教育（款）学前教育（项）：支出决算数为26.68万元，比上年决算减少27.92万元，下降51.14%，主要原因是：学前教育发展资金项目为上年结转资金，本年支出减少。</w:t>
      </w:r>
    </w:p>
    <w:p w14:paraId="350D2FD3">
      <w:pPr>
        <w:spacing w:line="580" w:lineRule="exact"/>
        <w:ind w:firstLine="640"/>
        <w:jc w:val="both"/>
      </w:pPr>
      <w:r>
        <w:rPr>
          <w:rFonts w:ascii="仿宋_GB2312" w:hAnsi="仿宋_GB2312" w:eastAsia="仿宋_GB2312"/>
          <w:b w:val="0"/>
          <w:sz w:val="32"/>
        </w:rPr>
        <w:t>2.教育支出（类）普通教育（款）高等教育（项）：支出决算数为73,339.13万元，比上年决算增加21,173.50万元，增长40.59%，主要原因是：本年在职人员增加，相应人员经费支出增加；本年增加东校区“新工科”产学研基地建设项目、东校区7、8号学生宿舍楼建设项目、东校区9-12号学生宿舍楼建设项目等。</w:t>
      </w:r>
    </w:p>
    <w:p w14:paraId="202739A1">
      <w:pPr>
        <w:spacing w:line="580" w:lineRule="exact"/>
        <w:ind w:firstLine="640"/>
        <w:jc w:val="both"/>
      </w:pPr>
      <w:r>
        <w:rPr>
          <w:rFonts w:ascii="仿宋_GB2312" w:hAnsi="仿宋_GB2312" w:eastAsia="仿宋_GB2312"/>
          <w:b w:val="0"/>
          <w:sz w:val="32"/>
        </w:rPr>
        <w:t>3.教育支出（类）普通教育（款）其他普通教育支出（项）：支出决算数为13.19万元，比上年决算增加13.19万元，增长100.00%，主要原因是：本年增加高校思政课题项目。</w:t>
      </w:r>
    </w:p>
    <w:p w14:paraId="4015215D">
      <w:pPr>
        <w:spacing w:line="580" w:lineRule="exact"/>
        <w:ind w:firstLine="640"/>
        <w:jc w:val="both"/>
      </w:pPr>
      <w:r>
        <w:rPr>
          <w:rFonts w:ascii="仿宋_GB2312" w:hAnsi="仿宋_GB2312" w:eastAsia="仿宋_GB2312"/>
          <w:b w:val="0"/>
          <w:sz w:val="32"/>
        </w:rPr>
        <w:t>4.教育支出（类）职业教育（款）高等职业教育（项）：支出决算数为4.67万元，比上年决算减少0.18万元，下降3.71%，主要原因是：现代职业教育质量提升计划-学前教育项目资金支出较上年减少。</w:t>
      </w:r>
    </w:p>
    <w:p w14:paraId="3DCC6D1D">
      <w:pPr>
        <w:spacing w:line="580" w:lineRule="exact"/>
        <w:ind w:firstLine="640"/>
        <w:jc w:val="both"/>
      </w:pPr>
      <w:r>
        <w:rPr>
          <w:rFonts w:ascii="仿宋_GB2312" w:hAnsi="仿宋_GB2312" w:eastAsia="仿宋_GB2312"/>
          <w:b w:val="0"/>
          <w:sz w:val="32"/>
        </w:rPr>
        <w:t>5.教育支出（类）职业教育（款）其他职业教育支出（项）：支出决算数为18.17万元，比上年决算减少7.83万元，下降30.12%，主要原因是：现代职业教育质量提升-旅游管理项目资金支出较上年减少。</w:t>
      </w:r>
    </w:p>
    <w:p w14:paraId="41035022">
      <w:pPr>
        <w:spacing w:line="580" w:lineRule="exact"/>
        <w:ind w:firstLine="640"/>
        <w:jc w:val="both"/>
      </w:pPr>
      <w:r>
        <w:rPr>
          <w:rFonts w:ascii="仿宋_GB2312" w:hAnsi="仿宋_GB2312" w:eastAsia="仿宋_GB2312"/>
          <w:b w:val="0"/>
          <w:sz w:val="32"/>
        </w:rPr>
        <w:t>6.教育支出（类）其他教育支出（款）其他教育支出（项）：支出决算数为3.49万元，比上年决算减少964.68万元，下降99.64%，主要原因是：本年减少18号学生宿舍楼建设项目。</w:t>
      </w:r>
    </w:p>
    <w:p w14:paraId="65874A4F">
      <w:pPr>
        <w:spacing w:line="580" w:lineRule="exact"/>
        <w:ind w:firstLine="640"/>
        <w:jc w:val="both"/>
      </w:pPr>
      <w:r>
        <w:rPr>
          <w:rFonts w:ascii="仿宋_GB2312" w:hAnsi="仿宋_GB2312" w:eastAsia="仿宋_GB2312"/>
          <w:b w:val="0"/>
          <w:sz w:val="32"/>
        </w:rPr>
        <w:t>7.科学技术支出（类）科学技术管理事务（款）一般行政管理事务（项）：支出决算数为0.30万元，比上年决算减少1.02万元，下降77.27%，主要原因是：以前年度自治区专家顾问团决策研究与咨询项目，因科研项目周期性今年支出减少。</w:t>
      </w:r>
    </w:p>
    <w:p w14:paraId="6BE34C84">
      <w:pPr>
        <w:spacing w:line="580" w:lineRule="exact"/>
        <w:ind w:firstLine="640"/>
        <w:jc w:val="both"/>
      </w:pPr>
      <w:r>
        <w:rPr>
          <w:rFonts w:ascii="仿宋_GB2312" w:hAnsi="仿宋_GB2312" w:eastAsia="仿宋_GB2312"/>
          <w:b w:val="0"/>
          <w:sz w:val="32"/>
        </w:rPr>
        <w:t>8.科学技术支出（类）基础研究（款）自然科学基金（项）：支出决算数为0.34万元，比上年决算减少10.02万元，下降96.72%，主要原因是：以前年度自治区创新环境联合基金科研项目，因科研项目周期性今年支出减少。</w:t>
      </w:r>
    </w:p>
    <w:p w14:paraId="13C50609">
      <w:pPr>
        <w:spacing w:line="580" w:lineRule="exact"/>
        <w:ind w:firstLine="640"/>
        <w:jc w:val="both"/>
      </w:pPr>
      <w:r>
        <w:rPr>
          <w:rFonts w:ascii="仿宋_GB2312" w:hAnsi="仿宋_GB2312" w:eastAsia="仿宋_GB2312"/>
          <w:b w:val="0"/>
          <w:sz w:val="32"/>
        </w:rPr>
        <w:t>9.科学技术支出（类）基础研究（款）科技人才队伍建设（项）：支出决算数为967.51万元，比上年决算增加907.51万元，增长1,512.52%，主要原因是：天池英才引进计划项目支出较上年增加。</w:t>
      </w:r>
    </w:p>
    <w:p w14:paraId="0D7EDD92">
      <w:pPr>
        <w:spacing w:line="580" w:lineRule="exact"/>
        <w:ind w:firstLine="640"/>
        <w:jc w:val="both"/>
      </w:pPr>
      <w:r>
        <w:rPr>
          <w:rFonts w:ascii="仿宋_GB2312" w:hAnsi="仿宋_GB2312" w:eastAsia="仿宋_GB2312"/>
          <w:b w:val="0"/>
          <w:sz w:val="32"/>
        </w:rPr>
        <w:t>10.科学技术支出（类）基础研究（款）其他基础研究支出（项）：支出决算数为7.99万元，比上年决算减少74.10万元，下降90.27%，主要原因是：自治区高校科研计划项目因科研项目周期性今年支出减少。</w:t>
      </w:r>
    </w:p>
    <w:p w14:paraId="05D835A2">
      <w:pPr>
        <w:spacing w:line="580" w:lineRule="exact"/>
        <w:ind w:firstLine="640"/>
        <w:jc w:val="both"/>
      </w:pPr>
      <w:r>
        <w:rPr>
          <w:rFonts w:ascii="仿宋_GB2312" w:hAnsi="仿宋_GB2312" w:eastAsia="仿宋_GB2312"/>
          <w:b w:val="0"/>
          <w:sz w:val="32"/>
        </w:rPr>
        <w:t>11.科学技术支出（类）科技交流与合作（款）国际交流与合作（项）：支出决算数为0.00万元，比上年决算减少5.41万元，下降100.00%，主要原因是：本年减少自治区高校科研计划项目。</w:t>
      </w:r>
    </w:p>
    <w:p w14:paraId="5B772F43">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12.文化旅游体育与传媒支出（类）文化和旅游（款）其他文化和旅游支出（项）：支出决算数为41.71万元，比上年决算减少6.90万元，下降14.19%，主要原因是：本年减少思想文化旅游类项目支出。</w:t>
      </w:r>
    </w:p>
    <w:p w14:paraId="34CDC661">
      <w:pPr>
        <w:spacing w:line="580" w:lineRule="exact"/>
        <w:ind w:firstLine="640"/>
        <w:jc w:val="both"/>
      </w:pPr>
      <w:r>
        <w:rPr>
          <w:rFonts w:ascii="仿宋_GB2312" w:hAnsi="仿宋_GB2312" w:eastAsia="仿宋_GB2312"/>
          <w:b w:val="0"/>
          <w:sz w:val="32"/>
        </w:rPr>
        <w:t>13.社会保障和就业支出（类）人力资源和社会保障管理事务（款）其他人力资源和社会保障管理事务支出（项）：支出决算数为104.86万元，比上年决算减少185.44万元，下降63.88%，主要原因是：“天池英才”科研项目因科研项目周期性今年支出减少。</w:t>
      </w:r>
    </w:p>
    <w:p w14:paraId="019C6F47">
      <w:pPr>
        <w:spacing w:line="580" w:lineRule="exact"/>
        <w:ind w:firstLine="640"/>
        <w:jc w:val="both"/>
      </w:pPr>
      <w:r>
        <w:rPr>
          <w:rFonts w:ascii="仿宋_GB2312" w:hAnsi="仿宋_GB2312" w:eastAsia="仿宋_GB2312"/>
          <w:b w:val="0"/>
          <w:sz w:val="32"/>
        </w:rPr>
        <w:t>14.卫生健康支出（类）医疗救助（款）其他医疗救助支出（项）：支出决算数为1.16万元，比上年决算增加0.97万元，增长510.53%，主要原因是：大学生医疗补助项目支出较上年增加。</w:t>
      </w:r>
    </w:p>
    <w:p w14:paraId="282875FC">
      <w:pPr>
        <w:spacing w:line="580" w:lineRule="exact"/>
        <w:ind w:firstLine="640"/>
        <w:jc w:val="both"/>
      </w:pPr>
      <w:r>
        <w:rPr>
          <w:rFonts w:ascii="仿宋_GB2312" w:hAnsi="仿宋_GB2312" w:eastAsia="仿宋_GB2312"/>
          <w:b w:val="0"/>
          <w:sz w:val="32"/>
        </w:rPr>
        <w:t>15.农林水支出（类）农业农村（款）科技转化与推广服务（项）：支出决算数为12.50万元，比上年决算减少0.85万元，下降6.37%，主要原因是：“三农”骨干科研项目，因科研项目周期性，本年支出减少。</w:t>
      </w:r>
    </w:p>
    <w:p w14:paraId="52443352">
      <w:pPr>
        <w:spacing w:line="640" w:lineRule="exact"/>
        <w:ind w:firstLine="640"/>
        <w:jc w:val="both"/>
        <w:outlineLvl w:val="2"/>
      </w:pPr>
      <w:r>
        <w:rPr>
          <w:rFonts w:ascii="黑体" w:hAnsi="黑体" w:eastAsia="黑体"/>
          <w:sz w:val="32"/>
        </w:rPr>
        <w:t>六、一般公共预算财政拨款基本支出决算情况说明</w:t>
      </w:r>
    </w:p>
    <w:p w14:paraId="26BB1F5D">
      <w:pPr>
        <w:spacing w:line="580" w:lineRule="exact"/>
        <w:ind w:firstLine="640"/>
        <w:jc w:val="both"/>
      </w:pPr>
      <w:r>
        <w:rPr>
          <w:rFonts w:ascii="仿宋_GB2312" w:hAnsi="仿宋_GB2312" w:eastAsia="仿宋_GB2312"/>
          <w:b w:val="0"/>
          <w:sz w:val="32"/>
        </w:rPr>
        <w:t>2025年度一般公共预算财政拨款基本支出40,625.12万元，其中：</w:t>
      </w:r>
      <w:r>
        <w:rPr>
          <w:rFonts w:ascii="仿宋_GB2312" w:hAnsi="仿宋_GB2312" w:eastAsia="仿宋_GB2312"/>
          <w:b/>
          <w:sz w:val="32"/>
        </w:rPr>
        <w:t>人员经费35,257.62万元，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5F3904CB">
      <w:pPr>
        <w:spacing w:line="580" w:lineRule="exact"/>
        <w:ind w:firstLine="640"/>
        <w:jc w:val="both"/>
      </w:pPr>
      <w:r>
        <w:rPr>
          <w:rFonts w:ascii="仿宋_GB2312" w:hAnsi="仿宋_GB2312" w:eastAsia="仿宋_GB2312"/>
          <w:b/>
          <w:sz w:val="32"/>
        </w:rPr>
        <w:t>公用经费5,367.50万元，</w:t>
      </w:r>
      <w:r>
        <w:rPr>
          <w:rFonts w:ascii="仿宋_GB2312" w:hAnsi="仿宋_GB2312" w:eastAsia="仿宋_GB2312"/>
          <w:b w:val="0"/>
          <w:sz w:val="32"/>
        </w:rPr>
        <w:t>包括：办公费、印刷费、手续费、水费、电费、邮电费、取暖费、物业管理费、差旅费、维修（护）费、租赁费、培训费、专用材料费、劳务费、委托业务费、工会经费、福利费、其他交通费用、税金及附加费用、其他商品和服务支出。</w:t>
      </w:r>
    </w:p>
    <w:p w14:paraId="4B5A2342">
      <w:pPr>
        <w:spacing w:line="640" w:lineRule="exact"/>
        <w:ind w:firstLine="640"/>
        <w:jc w:val="both"/>
        <w:outlineLvl w:val="2"/>
      </w:pPr>
      <w:r>
        <w:rPr>
          <w:rFonts w:ascii="黑体" w:hAnsi="黑体" w:eastAsia="黑体"/>
          <w:sz w:val="32"/>
        </w:rPr>
        <w:t>七、政府性基金预算财政拨款收入支出决算情况说明</w:t>
      </w:r>
    </w:p>
    <w:p w14:paraId="47AC272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学、科研、基本建设等重点支出，体现在有关支出科目中。</w:t>
      </w:r>
    </w:p>
    <w:p w14:paraId="6ED94DD5">
      <w:pPr>
        <w:spacing w:line="580" w:lineRule="exact"/>
        <w:ind w:firstLine="640"/>
        <w:jc w:val="both"/>
      </w:pPr>
      <w:r>
        <w:rPr>
          <w:rFonts w:ascii="仿宋_GB2312" w:hAnsi="仿宋_GB2312" w:eastAsia="仿宋_GB2312"/>
          <w:b/>
          <w:sz w:val="32"/>
        </w:rPr>
        <w:t>2025年度政府性基金预算财政拨款收入总计123.01万元，</w:t>
      </w:r>
      <w:r>
        <w:rPr>
          <w:rFonts w:ascii="仿宋_GB2312" w:hAnsi="仿宋_GB2312" w:eastAsia="仿宋_GB2312"/>
          <w:b w:val="0"/>
          <w:sz w:val="32"/>
        </w:rPr>
        <w:t>其中：年初结转和结余48.70万元，本年收入74.31万元。</w:t>
      </w:r>
      <w:r>
        <w:rPr>
          <w:rFonts w:ascii="仿宋_GB2312" w:hAnsi="仿宋_GB2312" w:eastAsia="仿宋_GB2312"/>
          <w:b/>
          <w:sz w:val="32"/>
        </w:rPr>
        <w:t>政府性基金预算财政拨款支出总计123.01万元，</w:t>
      </w:r>
      <w:r>
        <w:rPr>
          <w:rFonts w:ascii="仿宋_GB2312" w:hAnsi="仿宋_GB2312" w:eastAsia="仿宋_GB2312"/>
          <w:b w:val="0"/>
          <w:sz w:val="32"/>
        </w:rPr>
        <w:t>其中：年末结转和结余0.00万元，本年支出123.01万元。</w:t>
      </w:r>
    </w:p>
    <w:p w14:paraId="4035C54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增加67.85万元，增长123.01%，主要原因是：本年新增自治区大中小校园足球项目，增加自治区职业教育专项资金-高本衔接专业建设项目、自治区大学生、中学生校园乒乓球联赛项目支出。</w:t>
      </w:r>
      <w:r>
        <w:rPr>
          <w:rFonts w:ascii="仿宋_GB2312" w:hAnsi="仿宋_GB2312" w:eastAsia="仿宋_GB2312"/>
          <w:b/>
          <w:sz w:val="32"/>
        </w:rPr>
        <w:t>与年初预算相比，</w:t>
      </w:r>
      <w:r>
        <w:rPr>
          <w:rFonts w:ascii="仿宋_GB2312" w:hAnsi="仿宋_GB2312" w:eastAsia="仿宋_GB2312"/>
          <w:b w:val="0"/>
          <w:sz w:val="32"/>
        </w:rPr>
        <w:t>年初预算数75.60万元，决算数123.01万元，预决算差异率62.71%，主要原因是：年中追加自治区大中小校园足球项目，导致预决算产生差异。</w:t>
      </w:r>
    </w:p>
    <w:p w14:paraId="5F5E5368">
      <w:pPr>
        <w:spacing w:line="580" w:lineRule="exact"/>
        <w:ind w:firstLine="640"/>
        <w:jc w:val="both"/>
      </w:pPr>
      <w:r>
        <w:rPr>
          <w:rFonts w:ascii="仿宋_GB2312" w:hAnsi="仿宋_GB2312" w:eastAsia="仿宋_GB2312"/>
          <w:b w:val="0"/>
          <w:sz w:val="32"/>
        </w:rPr>
        <w:t>政府性基金预算财政拨款本年支出123.01万元。具体情况如下：</w:t>
      </w:r>
    </w:p>
    <w:p w14:paraId="046EB1E4">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1.其他支出（类）彩票公益金安排的支出（款）用于体育事业的彩票公益金支出（项）：支出决算数为74.31万元，比上年决算增加74.31万元，增长100.00%，主要原因是：本年新增自治区大中小校园足球项目。</w:t>
      </w:r>
    </w:p>
    <w:p w14:paraId="6E0AB27B">
      <w:pPr>
        <w:spacing w:line="580" w:lineRule="exact"/>
        <w:ind w:firstLine="640"/>
        <w:jc w:val="both"/>
      </w:pPr>
      <w:r>
        <w:rPr>
          <w:rFonts w:ascii="仿宋_GB2312" w:hAnsi="仿宋_GB2312" w:eastAsia="仿宋_GB2312"/>
          <w:b w:val="0"/>
          <w:sz w:val="32"/>
        </w:rPr>
        <w:t>2.其他支出（类）彩票公益金安排的支出（款）用于教育事业的彩票公益金支出（项）：支出决算数为48.70万元，比上年决算增加42.24万元，增长653.87%，主要原因是：本年增加自治区职业教育专项资金-高本衔接专业建设项目、自治区大学生、中学生校园乒乓球联赛项目支出。</w:t>
      </w:r>
    </w:p>
    <w:p w14:paraId="26AB350B">
      <w:pPr>
        <w:spacing w:line="640" w:lineRule="exact"/>
        <w:ind w:firstLine="640"/>
        <w:jc w:val="both"/>
        <w:outlineLvl w:val="2"/>
      </w:pPr>
      <w:r>
        <w:rPr>
          <w:rFonts w:ascii="黑体" w:hAnsi="黑体" w:eastAsia="黑体"/>
          <w:sz w:val="32"/>
        </w:rPr>
        <w:t>八、国有资本经营预算财政拨款收入支出决算情况说明</w:t>
      </w:r>
    </w:p>
    <w:p w14:paraId="79C2E66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1A0CF6C">
      <w:pPr>
        <w:spacing w:line="640" w:lineRule="exact"/>
        <w:ind w:firstLine="640"/>
        <w:jc w:val="both"/>
        <w:outlineLvl w:val="2"/>
      </w:pPr>
      <w:r>
        <w:rPr>
          <w:rFonts w:ascii="黑体" w:hAnsi="黑体" w:eastAsia="黑体"/>
          <w:sz w:val="32"/>
        </w:rPr>
        <w:t>九、财政拨款“三公”经费支出决算情况说明</w:t>
      </w:r>
    </w:p>
    <w:p w14:paraId="028C0B8A">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61494759">
      <w:pPr>
        <w:spacing w:line="580" w:lineRule="exact"/>
        <w:ind w:firstLine="640"/>
        <w:jc w:val="both"/>
      </w:pPr>
      <w:r>
        <w:rPr>
          <w:rFonts w:ascii="仿宋_GB2312" w:hAnsi="仿宋_GB2312" w:eastAsia="仿宋_GB2312"/>
          <w:b/>
          <w:sz w:val="32"/>
        </w:rPr>
        <w:t>具体情况如下：</w:t>
      </w:r>
    </w:p>
    <w:p w14:paraId="0D09A23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D59587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20辆，与公务用车保有量差异原因是：差异车辆为单位业务用车，预算未安排公务用车运行维护费。</w:t>
      </w:r>
    </w:p>
    <w:p w14:paraId="3CEE72D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993A8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EA70471">
      <w:pPr>
        <w:spacing w:line="640" w:lineRule="exact"/>
        <w:ind w:firstLine="640"/>
        <w:jc w:val="both"/>
        <w:outlineLvl w:val="2"/>
      </w:pPr>
      <w:r>
        <w:rPr>
          <w:rFonts w:ascii="黑体" w:hAnsi="黑体" w:eastAsia="黑体"/>
          <w:sz w:val="32"/>
        </w:rPr>
        <w:t>十、其他重要事项的情况说明</w:t>
      </w:r>
    </w:p>
    <w:p w14:paraId="08CEA90A">
      <w:pPr>
        <w:spacing w:line="640" w:lineRule="exact"/>
        <w:ind w:firstLine="640"/>
        <w:jc w:val="both"/>
        <w:outlineLvl w:val="3"/>
      </w:pPr>
      <w:r>
        <w:rPr>
          <w:rFonts w:ascii="楷体_GB2312" w:hAnsi="楷体_GB2312" w:eastAsia="楷体_GB2312"/>
          <w:b/>
          <w:sz w:val="32"/>
        </w:rPr>
        <w:t>（一）机关运行经费及公用经费支出情况</w:t>
      </w:r>
    </w:p>
    <w:p w14:paraId="01E1D8A0">
      <w:pPr>
        <w:spacing w:line="580" w:lineRule="exact"/>
        <w:ind w:firstLine="640"/>
        <w:jc w:val="both"/>
      </w:pPr>
      <w:r>
        <w:rPr>
          <w:rFonts w:ascii="仿宋_GB2312" w:hAnsi="仿宋_GB2312" w:eastAsia="仿宋_GB2312"/>
          <w:b w:val="0"/>
          <w:sz w:val="32"/>
        </w:rPr>
        <w:t>2025年度伊犁师范大学（事业单位）公用经费支出5,367.50万元，比上年增加763.50万元，增长16.58%，主要原因是：今年东校区新建楼宇全面投入使用，相应日常保障及水电暖、物业等日常运转经费增加，同时，学校办学规模不断扩大，差旅培训、教学业务及专业建设、学生活动等各项开支均有所增加，导致相应的公用经费支出较上年有所增加。</w:t>
      </w:r>
    </w:p>
    <w:p w14:paraId="5AECA49C">
      <w:pPr>
        <w:spacing w:line="640" w:lineRule="exact"/>
        <w:ind w:firstLine="640"/>
        <w:jc w:val="both"/>
        <w:outlineLvl w:val="3"/>
      </w:pPr>
      <w:r>
        <w:rPr>
          <w:rFonts w:ascii="楷体_GB2312" w:hAnsi="楷体_GB2312" w:eastAsia="楷体_GB2312"/>
          <w:b/>
          <w:sz w:val="32"/>
        </w:rPr>
        <w:t>（二）政府采购情况</w:t>
      </w:r>
    </w:p>
    <w:p w14:paraId="7603F85C">
      <w:pPr>
        <w:spacing w:line="580" w:lineRule="exact"/>
        <w:ind w:firstLine="640"/>
        <w:jc w:val="both"/>
      </w:pPr>
      <w:r>
        <w:rPr>
          <w:rFonts w:ascii="仿宋_GB2312" w:hAnsi="仿宋_GB2312" w:eastAsia="仿宋_GB2312"/>
          <w:b w:val="0"/>
          <w:sz w:val="32"/>
        </w:rPr>
        <w:t>2025年度政府采购支出总额12,729.10万元，其中：政府采购货物支出4,964.48万元、政府采购工程支出507.38万元、政府采购服务支出7,257.23万元。</w:t>
      </w:r>
    </w:p>
    <w:p w14:paraId="6D593988">
      <w:pPr>
        <w:spacing w:line="580" w:lineRule="exact"/>
        <w:ind w:firstLine="640"/>
        <w:jc w:val="both"/>
      </w:pPr>
      <w:r>
        <w:rPr>
          <w:rFonts w:ascii="仿宋_GB2312" w:hAnsi="仿宋_GB2312" w:eastAsia="仿宋_GB2312"/>
          <w:b w:val="0"/>
          <w:sz w:val="32"/>
        </w:rPr>
        <w:t>授予中小企业合同金额6,082.71万元，占政府采购支出总额的47.79%，其中：授予小微企业合同金额4,721.45万元，占政府采购支出总额的37.09%。</w:t>
      </w:r>
    </w:p>
    <w:p w14:paraId="750911E7">
      <w:pPr>
        <w:spacing w:line="640" w:lineRule="exact"/>
        <w:ind w:firstLine="640"/>
        <w:jc w:val="both"/>
        <w:outlineLvl w:val="3"/>
      </w:pPr>
      <w:r>
        <w:rPr>
          <w:rFonts w:ascii="楷体_GB2312" w:hAnsi="楷体_GB2312" w:eastAsia="楷体_GB2312"/>
          <w:b/>
          <w:sz w:val="32"/>
        </w:rPr>
        <w:t>（三）国有资产占用情况说明</w:t>
      </w:r>
    </w:p>
    <w:p w14:paraId="3C6BA2A5">
      <w:pPr>
        <w:spacing w:line="580" w:lineRule="exact"/>
        <w:ind w:firstLine="640"/>
        <w:jc w:val="both"/>
      </w:pPr>
      <w:r>
        <w:rPr>
          <w:rFonts w:ascii="仿宋_GB2312" w:hAnsi="仿宋_GB2312" w:eastAsia="仿宋_GB2312"/>
          <w:b w:val="0"/>
          <w:sz w:val="32"/>
        </w:rPr>
        <w:t>截至2025年12月31日，房屋397,976.18平方米，价值82,105.45万元。车辆20辆，价值504.31万元，其中：副部（省）级及以上领导用车0辆、主要负责人用车0辆、机要通信用车0辆、应急保障用车0辆、执法执勤用车0辆、特种专业技术用车0辆、离退休干部服务用车0辆、其他用车20辆，其他用车主要是：单位业务用车。单价100万元（含）以上设备（不含车辆）13台（套）。</w:t>
      </w:r>
    </w:p>
    <w:p w14:paraId="3F3F1333">
      <w:pPr>
        <w:spacing w:line="640" w:lineRule="exact"/>
        <w:ind w:firstLine="640"/>
        <w:jc w:val="both"/>
        <w:outlineLvl w:val="2"/>
      </w:pPr>
      <w:r>
        <w:rPr>
          <w:rFonts w:ascii="黑体" w:hAnsi="黑体" w:eastAsia="黑体"/>
          <w:sz w:val="32"/>
        </w:rPr>
        <w:t>十一、预算绩效的情况说明</w:t>
      </w:r>
    </w:p>
    <w:p w14:paraId="0FD1B950">
      <w:pPr>
        <w:spacing w:line="580" w:lineRule="exact"/>
        <w:ind w:firstLine="640"/>
        <w:jc w:val="both"/>
      </w:pPr>
      <w:r>
        <w:rPr>
          <w:rFonts w:ascii="仿宋_GB2312" w:hAnsi="仿宋_GB2312" w:eastAsia="仿宋_GB2312"/>
          <w:b w:val="0"/>
          <w:sz w:val="32"/>
        </w:rPr>
        <w:t>根据预算绩效管理要求，本单位预算绩效评价项目1个，全年预算数22,896.00万元，全年执行数20,074.35万元。预算绩效管理取得的成效：一是资金使用效率稳步提高，通过细化预算绩效目标设定，强化过程监控，重点领域资金执行率显著提升，资源分配更趋合理，有效避免了资金闲置或低效使用现象；二是定期对预算执行情况进行监控，加大财政项目的执行力度，对预算执行较慢的单位及时进</w:t>
      </w:r>
      <w:r>
        <w:rPr>
          <w:rFonts w:hint="eastAsia" w:ascii="仿宋_GB2312" w:hAnsi="仿宋_GB2312" w:eastAsia="仿宋_GB2312"/>
          <w:b w:val="0"/>
          <w:sz w:val="32"/>
          <w:lang w:eastAsia="zh-CN"/>
        </w:rPr>
        <w:t>行监</w:t>
      </w:r>
      <w:r>
        <w:rPr>
          <w:rFonts w:ascii="仿宋_GB2312" w:hAnsi="仿宋_GB2312" w:eastAsia="仿宋_GB2312"/>
          <w:b w:val="0"/>
          <w:sz w:val="32"/>
        </w:rPr>
        <w:t>督。发现的问题及原因：一是部分专项经费的下达时间与学校实际工作不同步。因项目要求工作需提前开展，但专项资金没有到位，存在开展工作的必要性、规律性和专项资金拨付到位时间的滞后性或不确定性之间的矛盾，造成财务频繁垫资和倒账现象的出现，这不仅影响了财务核算的规范性，还违背了专项资金专款专用的原则；二是预算绩效管理的闭环机制尚未健全，“重分配、轻管理，重支出、轻绩效”的现象在一定程度上仍然存在。其表现为：校内各单位普遍将绩效工作视为财务部门的专项职责，参与感不强、主体责任意识不足。在绩效目标设定环节，主要由财务部门主导，业务部门参与不深，导致绩效目标与事业发展实际和业务运行规律脱节，量化性和可考核性不足；三是在与资产部门对账时，因系统功能与会计规则不符，存在操作障碍。具体表现为：对已提足折旧的资产（如房屋），财政资产系统不支持直接录入增值部分，只能删除原卡片后，将“原值+新增投入”作为全新资产重新入账并开始折旧。这与财务上应将后续支出资本化并重新计算折旧的准则相悖。此差异直接导致双方账面的“累计折旧”等数据无法匹配，不仅增加了对账工作量，也影响了资产价值的准确性。下一步改进措施：一是进一步严格经费使用要求，强化资金使用评价机制，</w:t>
      </w:r>
      <w:r>
        <w:rPr>
          <w:rFonts w:hint="eastAsia" w:ascii="仿宋_GB2312" w:hAnsi="仿宋_GB2312" w:eastAsia="仿宋_GB2312"/>
          <w:b w:val="0"/>
          <w:sz w:val="32"/>
          <w:lang w:eastAsia="zh-CN"/>
        </w:rPr>
        <w:t>确保资金及时</w:t>
      </w:r>
      <w:r>
        <w:rPr>
          <w:rFonts w:ascii="仿宋_GB2312" w:hAnsi="仿宋_GB2312" w:eastAsia="仿宋_GB2312"/>
          <w:b w:val="0"/>
          <w:sz w:val="32"/>
        </w:rPr>
        <w:t>高效使用；二是针对疆内高校经济业务相似但会计处理存在差异的现状，建议组织跨校财务人员定期培训与交流活动。搭建实务研讨平台，分享经验、剖析共性问题，共同探索符合高校特点的财务管理规范，协力提升区域高校整体财务管理水平；三是针对资产对账中因系统限制导致的账务差异问题，建议其结合高校资产后续支出等实际业务场景，对系统功能（如已提足折旧资产的增值操作流程）进行适应性调整，从技术层面保障账实相符、账与账相符。具体附项目支出绩效自评表。</w:t>
      </w:r>
    </w:p>
    <w:p w14:paraId="5AB95A77">
      <w:r>
        <w:br w:type="page"/>
      </w:r>
    </w:p>
    <w:p w14:paraId="79CBCA06">
      <w:pPr>
        <w:sectPr>
          <w:footerReference r:id="rId3" w:type="default"/>
          <w:pgSz w:w="11906" w:h="16838"/>
          <w:pgMar w:top="2098" w:right="1531" w:bottom="1985" w:left="1531" w:header="851" w:footer="992" w:gutter="0"/>
          <w:cols w:space="720"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90"/>
        <w:gridCol w:w="390"/>
        <w:gridCol w:w="390"/>
        <w:gridCol w:w="562"/>
        <w:gridCol w:w="908"/>
        <w:gridCol w:w="908"/>
        <w:gridCol w:w="908"/>
        <w:gridCol w:w="562"/>
        <w:gridCol w:w="648"/>
        <w:gridCol w:w="390"/>
        <w:gridCol w:w="821"/>
        <w:gridCol w:w="390"/>
        <w:gridCol w:w="390"/>
        <w:gridCol w:w="649"/>
      </w:tblGrid>
      <w:tr w14:paraId="2EABD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vAlign w:val="center"/>
          </w:tcPr>
          <w:p w14:paraId="35FAB44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1D303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154B97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(2025年度)</w:t>
            </w:r>
          </w:p>
        </w:tc>
      </w:tr>
      <w:tr w14:paraId="0D2F6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72" w:type="pct"/>
            <w:gridSpan w:val="2"/>
            <w:tcBorders>
              <w:top w:val="single" w:color="000000" w:sz="4" w:space="0"/>
              <w:left w:val="single" w:color="000000" w:sz="4" w:space="0"/>
              <w:bottom w:val="single" w:color="000000" w:sz="4" w:space="0"/>
              <w:right w:val="single" w:color="000000" w:sz="4" w:space="0"/>
            </w:tcBorders>
            <w:shd w:val="clear"/>
            <w:vAlign w:val="center"/>
          </w:tcPr>
          <w:p w14:paraId="7CD82F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27" w:type="pct"/>
            <w:gridSpan w:val="12"/>
            <w:tcBorders>
              <w:top w:val="single" w:color="000000" w:sz="4" w:space="0"/>
              <w:left w:val="single" w:color="000000" w:sz="4" w:space="0"/>
              <w:bottom w:val="single" w:color="000000" w:sz="4" w:space="0"/>
              <w:right w:val="single" w:color="000000" w:sz="4" w:space="0"/>
            </w:tcBorders>
            <w:shd w:val="clear"/>
            <w:vAlign w:val="center"/>
          </w:tcPr>
          <w:p w14:paraId="04A4C6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2025年伊犁师范大学非财政拨款项目</w:t>
            </w:r>
          </w:p>
        </w:tc>
      </w:tr>
      <w:tr w14:paraId="2DF06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72" w:type="pct"/>
            <w:gridSpan w:val="2"/>
            <w:tcBorders>
              <w:top w:val="single" w:color="000000" w:sz="4" w:space="0"/>
              <w:left w:val="single" w:color="000000" w:sz="4" w:space="0"/>
              <w:bottom w:val="single" w:color="000000" w:sz="4" w:space="0"/>
              <w:right w:val="single" w:color="000000" w:sz="4" w:space="0"/>
            </w:tcBorders>
            <w:shd w:val="clear"/>
            <w:vAlign w:val="center"/>
          </w:tcPr>
          <w:p w14:paraId="0219FA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2238" w:type="pct"/>
            <w:gridSpan w:val="5"/>
            <w:tcBorders>
              <w:top w:val="single" w:color="000000" w:sz="4" w:space="0"/>
              <w:left w:val="single" w:color="000000" w:sz="4" w:space="0"/>
              <w:bottom w:val="single" w:color="000000" w:sz="4" w:space="0"/>
              <w:right w:val="single" w:color="000000" w:sz="4" w:space="0"/>
            </w:tcBorders>
            <w:shd w:val="clear"/>
            <w:vAlign w:val="center"/>
          </w:tcPr>
          <w:p w14:paraId="103D8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自治区教育厅</w:t>
            </w:r>
          </w:p>
        </w:tc>
        <w:tc>
          <w:tcPr>
            <w:tcW w:w="683" w:type="pct"/>
            <w:gridSpan w:val="2"/>
            <w:tcBorders>
              <w:top w:val="single" w:color="000000" w:sz="4" w:space="0"/>
              <w:left w:val="single" w:color="000000" w:sz="4" w:space="0"/>
              <w:bottom w:val="single" w:color="000000" w:sz="4" w:space="0"/>
              <w:right w:val="single" w:color="000000" w:sz="4" w:space="0"/>
            </w:tcBorders>
            <w:shd w:val="clear"/>
            <w:vAlign w:val="center"/>
          </w:tcPr>
          <w:p w14:paraId="450DA2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1605" w:type="pct"/>
            <w:gridSpan w:val="5"/>
            <w:tcBorders>
              <w:top w:val="single" w:color="000000" w:sz="4" w:space="0"/>
              <w:left w:val="single" w:color="000000" w:sz="4" w:space="0"/>
              <w:bottom w:val="single" w:color="000000" w:sz="4" w:space="0"/>
              <w:right w:val="single" w:color="000000" w:sz="4" w:space="0"/>
            </w:tcBorders>
            <w:shd w:val="clear"/>
            <w:vAlign w:val="center"/>
          </w:tcPr>
          <w:p w14:paraId="1AC59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伊犁师范大学</w:t>
            </w:r>
          </w:p>
        </w:tc>
      </w:tr>
      <w:tr w14:paraId="1A406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72"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08FD0F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578" w:type="pct"/>
            <w:gridSpan w:val="2"/>
            <w:tcBorders>
              <w:top w:val="single" w:color="000000" w:sz="4" w:space="0"/>
              <w:left w:val="single" w:color="000000" w:sz="4" w:space="0"/>
              <w:bottom w:val="single" w:color="000000" w:sz="4" w:space="0"/>
              <w:right w:val="single" w:color="000000" w:sz="4" w:space="0"/>
            </w:tcBorders>
            <w:shd w:val="clear"/>
            <w:vAlign w:val="center"/>
          </w:tcPr>
          <w:p w14:paraId="4B2E7811">
            <w:pPr>
              <w:jc w:val="center"/>
              <w:rPr>
                <w:rFonts w:hint="eastAsia" w:ascii="宋体" w:hAnsi="宋体" w:eastAsia="宋体" w:cs="宋体"/>
                <w:b/>
                <w:bCs/>
                <w:i w:val="0"/>
                <w:iCs w:val="0"/>
                <w:color w:val="000000"/>
                <w:sz w:val="18"/>
                <w:szCs w:val="18"/>
                <w:u w:val="none"/>
              </w:rPr>
            </w:pP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28173E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1106" w:type="pct"/>
            <w:gridSpan w:val="2"/>
            <w:tcBorders>
              <w:top w:val="single" w:color="000000" w:sz="4" w:space="0"/>
              <w:left w:val="single" w:color="000000" w:sz="4" w:space="0"/>
              <w:bottom w:val="single" w:color="000000" w:sz="4" w:space="0"/>
              <w:right w:val="single" w:color="000000" w:sz="4" w:space="0"/>
            </w:tcBorders>
            <w:shd w:val="clear"/>
            <w:vAlign w:val="center"/>
          </w:tcPr>
          <w:p w14:paraId="554DDB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83" w:type="pct"/>
            <w:gridSpan w:val="2"/>
            <w:tcBorders>
              <w:top w:val="single" w:color="000000" w:sz="4" w:space="0"/>
              <w:left w:val="single" w:color="000000" w:sz="4" w:space="0"/>
              <w:bottom w:val="single" w:color="000000" w:sz="4" w:space="0"/>
              <w:right w:val="single" w:color="000000" w:sz="4" w:space="0"/>
            </w:tcBorders>
            <w:shd w:val="clear"/>
            <w:vAlign w:val="center"/>
          </w:tcPr>
          <w:p w14:paraId="671D6A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737" w:type="pct"/>
            <w:gridSpan w:val="2"/>
            <w:tcBorders>
              <w:top w:val="single" w:color="000000" w:sz="4" w:space="0"/>
              <w:left w:val="single" w:color="000000" w:sz="4" w:space="0"/>
              <w:bottom w:val="single" w:color="000000" w:sz="4" w:space="0"/>
              <w:right w:val="single" w:color="000000" w:sz="4" w:space="0"/>
            </w:tcBorders>
            <w:shd w:val="clear"/>
            <w:vAlign w:val="center"/>
          </w:tcPr>
          <w:p w14:paraId="2C7CBB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473" w:type="pct"/>
            <w:gridSpan w:val="2"/>
            <w:tcBorders>
              <w:top w:val="single" w:color="000000" w:sz="4" w:space="0"/>
              <w:left w:val="single" w:color="000000" w:sz="4" w:space="0"/>
              <w:bottom w:val="single" w:color="000000" w:sz="4" w:space="0"/>
              <w:right w:val="single" w:color="000000" w:sz="4" w:space="0"/>
            </w:tcBorders>
            <w:shd w:val="clear"/>
            <w:vAlign w:val="center"/>
          </w:tcPr>
          <w:p w14:paraId="2CE295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454D4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7309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72"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F3F7CC8">
            <w:pPr>
              <w:jc w:val="center"/>
              <w:rPr>
                <w:rFonts w:hint="eastAsia" w:ascii="宋体" w:hAnsi="宋体" w:eastAsia="宋体" w:cs="宋体"/>
                <w:b/>
                <w:bCs/>
                <w:i w:val="0"/>
                <w:iCs w:val="0"/>
                <w:color w:val="000000"/>
                <w:sz w:val="18"/>
                <w:szCs w:val="18"/>
                <w:u w:val="none"/>
              </w:rPr>
            </w:pPr>
          </w:p>
        </w:tc>
        <w:tc>
          <w:tcPr>
            <w:tcW w:w="578" w:type="pct"/>
            <w:gridSpan w:val="2"/>
            <w:tcBorders>
              <w:top w:val="single" w:color="000000" w:sz="4" w:space="0"/>
              <w:left w:val="single" w:color="000000" w:sz="4" w:space="0"/>
              <w:bottom w:val="single" w:color="000000" w:sz="4" w:space="0"/>
              <w:right w:val="single" w:color="000000" w:sz="4" w:space="0"/>
            </w:tcBorders>
            <w:shd w:val="clear"/>
            <w:vAlign w:val="center"/>
          </w:tcPr>
          <w:p w14:paraId="03E0E3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94CE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23419.00</w:t>
            </w:r>
          </w:p>
        </w:tc>
        <w:tc>
          <w:tcPr>
            <w:tcW w:w="1106" w:type="pct"/>
            <w:gridSpan w:val="2"/>
            <w:tcBorders>
              <w:top w:val="single" w:color="000000" w:sz="4" w:space="0"/>
              <w:left w:val="single" w:color="000000" w:sz="4" w:space="0"/>
              <w:bottom w:val="single" w:color="000000" w:sz="4" w:space="0"/>
              <w:right w:val="single" w:color="000000" w:sz="4" w:space="0"/>
            </w:tcBorders>
            <w:shd w:val="clear"/>
            <w:vAlign w:val="center"/>
          </w:tcPr>
          <w:p w14:paraId="7CBBD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23419.00</w:t>
            </w:r>
          </w:p>
        </w:tc>
        <w:tc>
          <w:tcPr>
            <w:tcW w:w="683" w:type="pct"/>
            <w:gridSpan w:val="2"/>
            <w:tcBorders>
              <w:top w:val="single" w:color="000000" w:sz="4" w:space="0"/>
              <w:left w:val="single" w:color="000000" w:sz="4" w:space="0"/>
              <w:bottom w:val="single" w:color="000000" w:sz="4" w:space="0"/>
              <w:right w:val="single" w:color="000000" w:sz="4" w:space="0"/>
            </w:tcBorders>
            <w:shd w:val="clear"/>
            <w:vAlign w:val="center"/>
          </w:tcPr>
          <w:p w14:paraId="605746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20074.35</w:t>
            </w:r>
          </w:p>
        </w:tc>
        <w:tc>
          <w:tcPr>
            <w:tcW w:w="737" w:type="pct"/>
            <w:gridSpan w:val="2"/>
            <w:tcBorders>
              <w:top w:val="single" w:color="000000" w:sz="4" w:space="0"/>
              <w:left w:val="single" w:color="000000" w:sz="4" w:space="0"/>
              <w:bottom w:val="single" w:color="000000" w:sz="4" w:space="0"/>
              <w:right w:val="single" w:color="000000" w:sz="4" w:space="0"/>
            </w:tcBorders>
            <w:shd w:val="clear"/>
            <w:vAlign w:val="center"/>
          </w:tcPr>
          <w:p w14:paraId="2C2D7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73" w:type="pct"/>
            <w:gridSpan w:val="2"/>
            <w:tcBorders>
              <w:top w:val="single" w:color="000000" w:sz="4" w:space="0"/>
              <w:left w:val="single" w:color="000000" w:sz="4" w:space="0"/>
              <w:bottom w:val="single" w:color="000000" w:sz="4" w:space="0"/>
              <w:right w:val="single" w:color="000000" w:sz="4" w:space="0"/>
            </w:tcBorders>
            <w:shd w:val="clear"/>
            <w:vAlign w:val="center"/>
          </w:tcPr>
          <w:p w14:paraId="0F636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85.72%</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221EB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6.43</w:t>
            </w:r>
          </w:p>
        </w:tc>
      </w:tr>
      <w:tr w14:paraId="71571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72"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FE0E20D">
            <w:pPr>
              <w:jc w:val="center"/>
              <w:rPr>
                <w:rFonts w:hint="eastAsia" w:ascii="宋体" w:hAnsi="宋体" w:eastAsia="宋体" w:cs="宋体"/>
                <w:b/>
                <w:bCs/>
                <w:i w:val="0"/>
                <w:iCs w:val="0"/>
                <w:color w:val="000000"/>
                <w:sz w:val="18"/>
                <w:szCs w:val="18"/>
                <w:u w:val="none"/>
              </w:rPr>
            </w:pPr>
          </w:p>
        </w:tc>
        <w:tc>
          <w:tcPr>
            <w:tcW w:w="578" w:type="pct"/>
            <w:gridSpan w:val="2"/>
            <w:tcBorders>
              <w:top w:val="single" w:color="000000" w:sz="4" w:space="0"/>
              <w:left w:val="single" w:color="000000" w:sz="4" w:space="0"/>
              <w:bottom w:val="single" w:color="000000" w:sz="4" w:space="0"/>
              <w:right w:val="single" w:color="000000" w:sz="4" w:space="0"/>
            </w:tcBorders>
            <w:shd w:val="clear"/>
            <w:vAlign w:val="center"/>
          </w:tcPr>
          <w:p w14:paraId="1E3269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58808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1106" w:type="pct"/>
            <w:gridSpan w:val="2"/>
            <w:tcBorders>
              <w:top w:val="single" w:color="000000" w:sz="4" w:space="0"/>
              <w:left w:val="single" w:color="000000" w:sz="4" w:space="0"/>
              <w:bottom w:val="single" w:color="000000" w:sz="4" w:space="0"/>
              <w:right w:val="single" w:color="000000" w:sz="4" w:space="0"/>
            </w:tcBorders>
            <w:shd w:val="clear"/>
            <w:vAlign w:val="center"/>
          </w:tcPr>
          <w:p w14:paraId="12C76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83" w:type="pct"/>
            <w:gridSpan w:val="2"/>
            <w:tcBorders>
              <w:top w:val="single" w:color="000000" w:sz="4" w:space="0"/>
              <w:left w:val="single" w:color="000000" w:sz="4" w:space="0"/>
              <w:bottom w:val="single" w:color="000000" w:sz="4" w:space="0"/>
              <w:right w:val="single" w:color="000000" w:sz="4" w:space="0"/>
            </w:tcBorders>
            <w:shd w:val="clear"/>
            <w:vAlign w:val="center"/>
          </w:tcPr>
          <w:p w14:paraId="20E87A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737" w:type="pct"/>
            <w:gridSpan w:val="2"/>
            <w:tcBorders>
              <w:top w:val="single" w:color="000000" w:sz="4" w:space="0"/>
              <w:left w:val="single" w:color="000000" w:sz="4" w:space="0"/>
              <w:bottom w:val="single" w:color="000000" w:sz="4" w:space="0"/>
              <w:right w:val="single" w:color="000000" w:sz="4" w:space="0"/>
            </w:tcBorders>
            <w:shd w:val="clear"/>
            <w:vAlign w:val="center"/>
          </w:tcPr>
          <w:p w14:paraId="629DB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3" w:type="pct"/>
            <w:gridSpan w:val="2"/>
            <w:tcBorders>
              <w:top w:val="single" w:color="000000" w:sz="4" w:space="0"/>
              <w:left w:val="single" w:color="000000" w:sz="4" w:space="0"/>
              <w:bottom w:val="single" w:color="000000" w:sz="4" w:space="0"/>
              <w:right w:val="single" w:color="000000" w:sz="4" w:space="0"/>
            </w:tcBorders>
            <w:shd w:val="clear"/>
            <w:vAlign w:val="center"/>
          </w:tcPr>
          <w:p w14:paraId="3B4EFA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3DDDA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0C240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72"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D9DEED1">
            <w:pPr>
              <w:jc w:val="center"/>
              <w:rPr>
                <w:rFonts w:hint="eastAsia" w:ascii="宋体" w:hAnsi="宋体" w:eastAsia="宋体" w:cs="宋体"/>
                <w:b/>
                <w:bCs/>
                <w:i w:val="0"/>
                <w:iCs w:val="0"/>
                <w:color w:val="000000"/>
                <w:sz w:val="18"/>
                <w:szCs w:val="18"/>
                <w:u w:val="none"/>
              </w:rPr>
            </w:pPr>
          </w:p>
        </w:tc>
        <w:tc>
          <w:tcPr>
            <w:tcW w:w="578" w:type="pct"/>
            <w:gridSpan w:val="2"/>
            <w:tcBorders>
              <w:top w:val="single" w:color="000000" w:sz="4" w:space="0"/>
              <w:left w:val="single" w:color="000000" w:sz="4" w:space="0"/>
              <w:bottom w:val="single" w:color="000000" w:sz="4" w:space="0"/>
              <w:right w:val="single" w:color="000000" w:sz="4" w:space="0"/>
            </w:tcBorders>
            <w:shd w:val="clear"/>
            <w:vAlign w:val="center"/>
          </w:tcPr>
          <w:p w14:paraId="265DEE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BE7B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23419.00</w:t>
            </w:r>
          </w:p>
        </w:tc>
        <w:tc>
          <w:tcPr>
            <w:tcW w:w="1106" w:type="pct"/>
            <w:gridSpan w:val="2"/>
            <w:tcBorders>
              <w:top w:val="single" w:color="000000" w:sz="4" w:space="0"/>
              <w:left w:val="single" w:color="000000" w:sz="4" w:space="0"/>
              <w:bottom w:val="single" w:color="000000" w:sz="4" w:space="0"/>
              <w:right w:val="single" w:color="000000" w:sz="4" w:space="0"/>
            </w:tcBorders>
            <w:shd w:val="clear"/>
            <w:vAlign w:val="center"/>
          </w:tcPr>
          <w:p w14:paraId="6E2DE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23419.00</w:t>
            </w:r>
          </w:p>
        </w:tc>
        <w:tc>
          <w:tcPr>
            <w:tcW w:w="683" w:type="pct"/>
            <w:gridSpan w:val="2"/>
            <w:tcBorders>
              <w:top w:val="single" w:color="000000" w:sz="4" w:space="0"/>
              <w:left w:val="single" w:color="000000" w:sz="4" w:space="0"/>
              <w:bottom w:val="single" w:color="000000" w:sz="4" w:space="0"/>
              <w:right w:val="single" w:color="000000" w:sz="4" w:space="0"/>
            </w:tcBorders>
            <w:shd w:val="clear"/>
            <w:vAlign w:val="center"/>
          </w:tcPr>
          <w:p w14:paraId="78B42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20074.35</w:t>
            </w:r>
          </w:p>
        </w:tc>
        <w:tc>
          <w:tcPr>
            <w:tcW w:w="737" w:type="pct"/>
            <w:gridSpan w:val="2"/>
            <w:tcBorders>
              <w:top w:val="single" w:color="000000" w:sz="4" w:space="0"/>
              <w:left w:val="single" w:color="000000" w:sz="4" w:space="0"/>
              <w:bottom w:val="single" w:color="000000" w:sz="4" w:space="0"/>
              <w:right w:val="single" w:color="000000" w:sz="4" w:space="0"/>
            </w:tcBorders>
            <w:shd w:val="clear"/>
            <w:vAlign w:val="center"/>
          </w:tcPr>
          <w:p w14:paraId="18B2BC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3" w:type="pct"/>
            <w:gridSpan w:val="2"/>
            <w:tcBorders>
              <w:top w:val="single" w:color="000000" w:sz="4" w:space="0"/>
              <w:left w:val="single" w:color="000000" w:sz="4" w:space="0"/>
              <w:bottom w:val="single" w:color="000000" w:sz="4" w:space="0"/>
              <w:right w:val="single" w:color="000000" w:sz="4" w:space="0"/>
            </w:tcBorders>
            <w:shd w:val="clear"/>
            <w:vAlign w:val="center"/>
          </w:tcPr>
          <w:p w14:paraId="315894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19B74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3F879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restart"/>
            <w:tcBorders>
              <w:top w:val="single" w:color="000000" w:sz="4" w:space="0"/>
              <w:left w:val="single" w:color="000000" w:sz="4" w:space="0"/>
              <w:bottom w:val="single" w:color="000000" w:sz="4" w:space="0"/>
              <w:right w:val="single" w:color="000000" w:sz="4" w:space="0"/>
            </w:tcBorders>
            <w:shd w:val="clear"/>
            <w:vAlign w:val="center"/>
          </w:tcPr>
          <w:p w14:paraId="70A9D0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2474" w:type="pct"/>
            <w:gridSpan w:val="6"/>
            <w:tcBorders>
              <w:top w:val="single" w:color="000000" w:sz="4" w:space="0"/>
              <w:left w:val="single" w:color="000000" w:sz="4" w:space="0"/>
              <w:bottom w:val="single" w:color="000000" w:sz="4" w:space="0"/>
              <w:right w:val="single" w:color="000000" w:sz="4" w:space="0"/>
            </w:tcBorders>
            <w:shd w:val="clear"/>
            <w:vAlign w:val="center"/>
          </w:tcPr>
          <w:p w14:paraId="23CD33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289" w:type="pct"/>
            <w:gridSpan w:val="7"/>
            <w:tcBorders>
              <w:top w:val="single" w:color="000000" w:sz="4" w:space="0"/>
              <w:left w:val="single" w:color="000000" w:sz="4" w:space="0"/>
              <w:bottom w:val="single" w:color="000000" w:sz="4" w:space="0"/>
              <w:right w:val="single" w:color="000000" w:sz="4" w:space="0"/>
            </w:tcBorders>
            <w:shd w:val="clear"/>
            <w:vAlign w:val="center"/>
          </w:tcPr>
          <w:p w14:paraId="5B9E00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3E3B7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B73EF4">
            <w:pPr>
              <w:jc w:val="center"/>
              <w:rPr>
                <w:rFonts w:hint="eastAsia" w:ascii="宋体" w:hAnsi="宋体" w:eastAsia="宋体" w:cs="宋体"/>
                <w:b/>
                <w:bCs/>
                <w:i w:val="0"/>
                <w:iCs w:val="0"/>
                <w:color w:val="000000"/>
                <w:sz w:val="18"/>
                <w:szCs w:val="18"/>
                <w:u w:val="none"/>
              </w:rPr>
            </w:pPr>
          </w:p>
        </w:tc>
        <w:tc>
          <w:tcPr>
            <w:tcW w:w="2474" w:type="pct"/>
            <w:gridSpan w:val="6"/>
            <w:tcBorders>
              <w:top w:val="single" w:color="000000" w:sz="4" w:space="0"/>
              <w:left w:val="single" w:color="000000" w:sz="4" w:space="0"/>
              <w:bottom w:val="single" w:color="000000" w:sz="4" w:space="0"/>
              <w:right w:val="single" w:color="000000" w:sz="4" w:space="0"/>
            </w:tcBorders>
            <w:shd w:val="clear"/>
            <w:vAlign w:val="center"/>
          </w:tcPr>
          <w:p w14:paraId="53D8E920">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改善教学设施：提高学校教学设施的现代化水平，为师生提供更好的学习和教学条件；通过购置先进的教学设备、更新教学软件以及优化教学空间布局等方式，改善校园基础建设和硬件设施，维持学校日常运转，提升教学质量和学习体验。</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2.加强科研实力：加强学校科研实验设备的更新和维护，确保科研工作的顺利进行；支持科研项目和科研团队建设，提升学校的科研水平和创新能力；推动科研成果的转化和应用，为学校和社会创造更多的价值。</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3.优化校园环境：改善学校的校园环境，包括绿化、美化、文化设施等方面，提升学生的学习和生活质量；建设安全、健康、和谐的校园环境，为师生提供良好的学习和生活氛围。</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4.支持教学改革：支持学校的教学改革和创新，推动教学方法、课程内容和评价体系的优化；鼓励教师探索新的教学模式和方法，提高学生的学习兴趣和积极性。</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5.引进和培养人才：引进高层次人才，稳定教学科研人才队伍，提升学校的整体办学实力；加强对在校师生的培养和发展，提升他们的专业素养和综合能力。</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6.提升学校竞争力：通过项目资金的实施，提升学校的核心竞争力，包括人才培养质量、科研创新能力、社会服务水平等方面；推动学校向更高水平发展，争取更多的荣誉和地位。</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7.落实学生奖助政策，做好学生奖学金奖励、勤工俭学和伙食补</w:t>
            </w:r>
            <w:r>
              <w:rPr>
                <w:rFonts w:hint="eastAsia" w:ascii="宋体" w:hAnsi="宋体" w:cs="宋体"/>
                <w:i w:val="0"/>
                <w:iCs w:val="0"/>
                <w:color w:val="000000"/>
                <w:kern w:val="0"/>
                <w:sz w:val="18"/>
                <w:szCs w:val="18"/>
                <w:u w:val="none"/>
                <w:bdr w:val="none" w:color="auto" w:sz="0" w:space="0"/>
                <w:lang w:val="en-US" w:eastAsia="zh-CN" w:bidi="ar"/>
              </w:rPr>
              <w:t>助等</w:t>
            </w:r>
            <w:r>
              <w:rPr>
                <w:rFonts w:hint="eastAsia" w:ascii="宋体" w:hAnsi="宋体" w:eastAsia="宋体" w:cs="宋体"/>
                <w:i w:val="0"/>
                <w:iCs w:val="0"/>
                <w:color w:val="000000"/>
                <w:kern w:val="0"/>
                <w:sz w:val="18"/>
                <w:szCs w:val="18"/>
                <w:u w:val="none"/>
                <w:bdr w:val="none" w:color="auto" w:sz="0" w:space="0"/>
                <w:lang w:val="en-US" w:eastAsia="zh-CN" w:bidi="ar"/>
              </w:rPr>
              <w:t>相关资助工作，持续提升教育公平水平，满足家庭经困难学生基本学习生活需要。</w:t>
            </w:r>
          </w:p>
        </w:tc>
        <w:tc>
          <w:tcPr>
            <w:tcW w:w="2289" w:type="pct"/>
            <w:gridSpan w:val="7"/>
            <w:tcBorders>
              <w:top w:val="single" w:color="000000" w:sz="4" w:space="0"/>
              <w:left w:val="single" w:color="000000" w:sz="4" w:space="0"/>
              <w:bottom w:val="single" w:color="000000" w:sz="4" w:space="0"/>
              <w:right w:val="single" w:color="000000" w:sz="4" w:space="0"/>
            </w:tcBorders>
            <w:shd w:val="clear"/>
            <w:vAlign w:val="center"/>
          </w:tcPr>
          <w:p w14:paraId="3FD72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年安排资金23419万元，执行20074.35万元，落实学生奖助政策，做好学生奖学金奖励、勤工俭学和伙食补助相关资助工作，持续提升教育公平水平，满足家庭经困难学生基本学习生活需要。通过购置先进的教学设备、更新教学软件以及优化教学空间布局等方式，改善了校园基础建设和硬件设施，维持了学校日常运转，提升教学质量和学习体验。加强学校科研实验设备的更新和维护，确保科研工作的顺利进行；支持科研项目和科研团队建设，提升学校的科研水平和创新能力；推动科研成果的转化和应用，为学校和社会创造更多的价值。改善学校的校园环境，包括绿化、美化、文化设施等方面，提升学生的学习和生活质量；建设安全、健康、和谐的校园环境，为师生提供良好的学习和生活</w:t>
            </w:r>
            <w:r>
              <w:rPr>
                <w:rFonts w:hint="eastAsia" w:ascii="宋体" w:hAnsi="宋体" w:cs="宋体"/>
                <w:i w:val="0"/>
                <w:iCs w:val="0"/>
                <w:color w:val="000000"/>
                <w:kern w:val="0"/>
                <w:sz w:val="18"/>
                <w:szCs w:val="18"/>
                <w:u w:val="none"/>
                <w:bdr w:val="none" w:color="auto" w:sz="0" w:space="0"/>
                <w:lang w:val="en-US" w:eastAsia="zh-CN" w:bidi="ar"/>
              </w:rPr>
              <w:t>氛围</w:t>
            </w:r>
            <w:r>
              <w:rPr>
                <w:rFonts w:hint="eastAsia" w:ascii="宋体" w:hAnsi="宋体" w:eastAsia="宋体" w:cs="宋体"/>
                <w:i w:val="0"/>
                <w:iCs w:val="0"/>
                <w:color w:val="000000"/>
                <w:kern w:val="0"/>
                <w:sz w:val="18"/>
                <w:szCs w:val="18"/>
                <w:u w:val="none"/>
                <w:bdr w:val="none" w:color="auto" w:sz="0" w:space="0"/>
                <w:lang w:val="en-US" w:eastAsia="zh-CN" w:bidi="ar"/>
              </w:rPr>
              <w:t>，通过项目资金的实施，提升学校的核心竞争力，包括人才培养质量、科研创新能力、社会服务水平等方面；推动学校向更高水平发展，争取更多的荣誉和地位。</w:t>
            </w:r>
          </w:p>
        </w:tc>
      </w:tr>
      <w:tr w14:paraId="04CA2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235" w:type="pct"/>
            <w:vMerge w:val="restart"/>
            <w:tcBorders>
              <w:top w:val="single" w:color="000000" w:sz="4" w:space="0"/>
              <w:left w:val="single" w:color="000000" w:sz="4" w:space="0"/>
              <w:bottom w:val="single" w:color="000000" w:sz="4" w:space="0"/>
              <w:right w:val="single" w:color="000000" w:sz="4" w:space="0"/>
            </w:tcBorders>
            <w:shd w:val="clear"/>
            <w:vAlign w:val="center"/>
          </w:tcPr>
          <w:p w14:paraId="24D86699">
            <w:pPr>
              <w:jc w:val="center"/>
              <w:rPr>
                <w:rFonts w:hint="eastAsia" w:ascii="宋体" w:hAnsi="宋体" w:eastAsia="宋体" w:cs="宋体"/>
                <w:i w:val="0"/>
                <w:iCs w:val="0"/>
                <w:color w:val="000000"/>
                <w:sz w:val="18"/>
                <w:szCs w:val="18"/>
                <w:u w:val="none"/>
              </w:rPr>
            </w:pP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173A49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432C57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341" w:type="pct"/>
            <w:vMerge w:val="restart"/>
            <w:tcBorders>
              <w:top w:val="single" w:color="000000" w:sz="4" w:space="0"/>
              <w:left w:val="single" w:color="000000" w:sz="4" w:space="0"/>
              <w:bottom w:val="single" w:color="000000" w:sz="4" w:space="0"/>
              <w:right w:val="single" w:color="000000" w:sz="4" w:space="0"/>
            </w:tcBorders>
            <w:shd w:val="clear"/>
            <w:vAlign w:val="center"/>
          </w:tcPr>
          <w:p w14:paraId="08DC5A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553" w:type="pct"/>
            <w:vMerge w:val="restart"/>
            <w:tcBorders>
              <w:top w:val="single" w:color="000000" w:sz="4" w:space="0"/>
              <w:left w:val="single" w:color="000000" w:sz="4" w:space="0"/>
              <w:bottom w:val="single" w:color="000000" w:sz="4" w:space="0"/>
              <w:right w:val="single" w:color="000000" w:sz="4" w:space="0"/>
            </w:tcBorders>
            <w:shd w:val="clear"/>
            <w:vAlign w:val="center"/>
          </w:tcPr>
          <w:p w14:paraId="2435D2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553" w:type="pct"/>
            <w:vMerge w:val="restart"/>
            <w:tcBorders>
              <w:top w:val="single" w:color="000000" w:sz="4" w:space="0"/>
              <w:left w:val="single" w:color="000000" w:sz="4" w:space="0"/>
              <w:bottom w:val="single" w:color="000000" w:sz="4" w:space="0"/>
              <w:right w:val="single" w:color="000000" w:sz="4" w:space="0"/>
            </w:tcBorders>
            <w:shd w:val="clear"/>
            <w:vAlign w:val="center"/>
          </w:tcPr>
          <w:p w14:paraId="23CE06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553" w:type="pct"/>
            <w:vMerge w:val="restart"/>
            <w:tcBorders>
              <w:top w:val="single" w:color="000000" w:sz="4" w:space="0"/>
              <w:left w:val="single" w:color="000000" w:sz="4" w:space="0"/>
              <w:bottom w:val="single" w:color="000000" w:sz="4" w:space="0"/>
              <w:right w:val="single" w:color="000000" w:sz="4" w:space="0"/>
            </w:tcBorders>
            <w:shd w:val="clear"/>
            <w:vAlign w:val="center"/>
          </w:tcPr>
          <w:p w14:paraId="7184CA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28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E6963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94" w:type="pct"/>
            <w:vMerge w:val="restart"/>
            <w:tcBorders>
              <w:top w:val="single" w:color="000000" w:sz="4" w:space="0"/>
              <w:left w:val="single" w:color="000000" w:sz="4" w:space="0"/>
              <w:bottom w:val="single" w:color="000000" w:sz="4" w:space="0"/>
              <w:right w:val="single" w:color="000000" w:sz="4" w:space="0"/>
            </w:tcBorders>
            <w:shd w:val="clear"/>
            <w:vAlign w:val="center"/>
          </w:tcPr>
          <w:p w14:paraId="79F8DD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3B952D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500" w:type="pct"/>
            <w:vMerge w:val="restart"/>
            <w:tcBorders>
              <w:top w:val="single" w:color="000000" w:sz="4" w:space="0"/>
              <w:left w:val="single" w:color="000000" w:sz="4" w:space="0"/>
              <w:bottom w:val="single" w:color="000000" w:sz="4" w:space="0"/>
              <w:right w:val="single" w:color="000000" w:sz="4" w:space="0"/>
            </w:tcBorders>
            <w:shd w:val="clear"/>
            <w:vAlign w:val="center"/>
          </w:tcPr>
          <w:p w14:paraId="1F9A1B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165CAB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045508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394" w:type="pct"/>
            <w:vMerge w:val="restart"/>
            <w:tcBorders>
              <w:top w:val="single" w:color="000000" w:sz="4" w:space="0"/>
              <w:left w:val="single" w:color="000000" w:sz="4" w:space="0"/>
              <w:bottom w:val="single" w:color="000000" w:sz="4" w:space="0"/>
              <w:right w:val="single" w:color="000000" w:sz="4" w:space="0"/>
            </w:tcBorders>
            <w:shd w:val="clear"/>
            <w:vAlign w:val="center"/>
          </w:tcPr>
          <w:p w14:paraId="06E0D1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32AA0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E05353">
            <w:pPr>
              <w:jc w:val="center"/>
              <w:rPr>
                <w:rFonts w:hint="eastAsia" w:ascii="宋体" w:hAnsi="宋体" w:eastAsia="宋体" w:cs="宋体"/>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546960">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0B2160">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17BC0D5">
            <w:pPr>
              <w:jc w:val="center"/>
              <w:rPr>
                <w:rFonts w:hint="eastAsia" w:ascii="宋体" w:hAnsi="宋体" w:eastAsia="宋体" w:cs="宋体"/>
                <w:b/>
                <w:bCs/>
                <w:i w:val="0"/>
                <w:iCs w:val="0"/>
                <w:color w:val="000000"/>
                <w:sz w:val="18"/>
                <w:szCs w:val="18"/>
                <w:u w:val="none"/>
              </w:rPr>
            </w:pPr>
          </w:p>
        </w:tc>
        <w:tc>
          <w:tcPr>
            <w:tcW w:w="55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617D2A">
            <w:pPr>
              <w:jc w:val="center"/>
              <w:rPr>
                <w:rFonts w:hint="eastAsia" w:ascii="宋体" w:hAnsi="宋体" w:eastAsia="宋体" w:cs="宋体"/>
                <w:b/>
                <w:bCs/>
                <w:i w:val="0"/>
                <w:iCs w:val="0"/>
                <w:color w:val="000000"/>
                <w:sz w:val="18"/>
                <w:szCs w:val="18"/>
                <w:u w:val="none"/>
              </w:rPr>
            </w:pPr>
          </w:p>
        </w:tc>
        <w:tc>
          <w:tcPr>
            <w:tcW w:w="55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AF2CB19">
            <w:pPr>
              <w:jc w:val="center"/>
              <w:rPr>
                <w:rFonts w:hint="eastAsia" w:ascii="宋体" w:hAnsi="宋体" w:eastAsia="宋体" w:cs="宋体"/>
                <w:b/>
                <w:bCs/>
                <w:i w:val="0"/>
                <w:iCs w:val="0"/>
                <w:color w:val="000000"/>
                <w:sz w:val="18"/>
                <w:szCs w:val="18"/>
                <w:u w:val="none"/>
              </w:rPr>
            </w:pPr>
          </w:p>
        </w:tc>
        <w:tc>
          <w:tcPr>
            <w:tcW w:w="55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00A858E">
            <w:pPr>
              <w:jc w:val="center"/>
              <w:rPr>
                <w:rFonts w:hint="eastAsia" w:ascii="宋体" w:hAnsi="宋体" w:eastAsia="宋体" w:cs="宋体"/>
                <w:b/>
                <w:bCs/>
                <w:i w:val="0"/>
                <w:iCs w:val="0"/>
                <w:color w:val="000000"/>
                <w:sz w:val="18"/>
                <w:szCs w:val="18"/>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6F526C">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52F829">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4C3A84">
            <w:pPr>
              <w:jc w:val="center"/>
              <w:rPr>
                <w:rFonts w:hint="eastAsia" w:ascii="宋体" w:hAnsi="宋体" w:eastAsia="宋体" w:cs="宋体"/>
                <w:b/>
                <w:bCs/>
                <w:i w:val="0"/>
                <w:iCs w:val="0"/>
                <w:color w:val="000000"/>
                <w:sz w:val="18"/>
                <w:szCs w:val="18"/>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0C9F649">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640DFE">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3E4D9A">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B513BB">
            <w:pPr>
              <w:jc w:val="center"/>
              <w:rPr>
                <w:rFonts w:hint="eastAsia" w:ascii="宋体" w:hAnsi="宋体" w:eastAsia="宋体" w:cs="宋体"/>
                <w:b/>
                <w:bCs/>
                <w:i w:val="0"/>
                <w:iCs w:val="0"/>
                <w:color w:val="000000"/>
                <w:sz w:val="18"/>
                <w:szCs w:val="18"/>
                <w:u w:val="none"/>
              </w:rPr>
            </w:pPr>
          </w:p>
        </w:tc>
      </w:tr>
      <w:tr w14:paraId="54821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restart"/>
            <w:tcBorders>
              <w:top w:val="single" w:color="000000" w:sz="4" w:space="0"/>
              <w:left w:val="single" w:color="000000" w:sz="4" w:space="0"/>
              <w:bottom w:val="single" w:color="000000" w:sz="4" w:space="0"/>
              <w:right w:val="single" w:color="000000" w:sz="4" w:space="0"/>
            </w:tcBorders>
            <w:shd w:val="clear"/>
            <w:vAlign w:val="center"/>
          </w:tcPr>
          <w:p w14:paraId="712C0F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62EDB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409A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14F6F3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设备购置批数</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56950D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5C78C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&gt;=8批</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1F40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=8批</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4C4383B5">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bdr w:val="none" w:color="auto" w:sz="0" w:space="0"/>
                <w:lang w:val="en-US" w:eastAsia="zh-CN" w:bidi="ar"/>
              </w:rPr>
              <w:t>100</w:t>
            </w:r>
            <w:r>
              <w:rPr>
                <w:rFonts w:hint="eastAsia" w:ascii="宋体" w:hAnsi="宋体" w:cs="宋体"/>
                <w:i w:val="0"/>
                <w:iCs w:val="0"/>
                <w:color w:val="000000"/>
                <w:kern w:val="0"/>
                <w:sz w:val="18"/>
                <w:szCs w:val="18"/>
                <w:u w:val="none"/>
                <w:bdr w:val="none" w:color="auto" w:sz="0" w:space="0"/>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50CF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16957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031E86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6821C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95285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FEEAAB8">
            <w:pPr>
              <w:jc w:val="center"/>
              <w:rPr>
                <w:rFonts w:hint="eastAsia" w:ascii="宋体" w:hAnsi="宋体" w:eastAsia="宋体" w:cs="宋体"/>
                <w:i w:val="0"/>
                <w:iCs w:val="0"/>
                <w:color w:val="000000"/>
                <w:sz w:val="18"/>
                <w:szCs w:val="18"/>
                <w:u w:val="none"/>
              </w:rPr>
            </w:pPr>
          </w:p>
        </w:tc>
      </w:tr>
      <w:tr w14:paraId="7C38B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63BD98">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AD76B6B">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F251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2C0305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助学金覆盖人数</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46BF06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6037F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&gt;=6500人</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5FE8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=6500人</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676C38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76687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089C9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4AB2F9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7215人</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16CE8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7FB5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7CC27E6">
            <w:pPr>
              <w:jc w:val="center"/>
              <w:rPr>
                <w:rFonts w:hint="eastAsia" w:ascii="宋体" w:hAnsi="宋体" w:eastAsia="宋体" w:cs="宋体"/>
                <w:i w:val="0"/>
                <w:iCs w:val="0"/>
                <w:color w:val="000000"/>
                <w:sz w:val="18"/>
                <w:szCs w:val="18"/>
                <w:u w:val="none"/>
              </w:rPr>
            </w:pPr>
          </w:p>
        </w:tc>
      </w:tr>
      <w:tr w14:paraId="3E07D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1C0E84">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7DF611">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31D1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62B4E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课题立项数</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011199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DA6EE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&gt;=400项</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46A78F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=412项</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0D1A30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35AB3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7F1EB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2F66D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354</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8900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2CEF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1F576857">
            <w:pPr>
              <w:jc w:val="center"/>
              <w:rPr>
                <w:rFonts w:hint="eastAsia" w:ascii="宋体" w:hAnsi="宋体" w:eastAsia="宋体" w:cs="宋体"/>
                <w:i w:val="0"/>
                <w:iCs w:val="0"/>
                <w:color w:val="000000"/>
                <w:sz w:val="18"/>
                <w:szCs w:val="18"/>
                <w:u w:val="none"/>
              </w:rPr>
            </w:pPr>
          </w:p>
        </w:tc>
      </w:tr>
      <w:tr w14:paraId="13632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1365B9C">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D128C7">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DDE6E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61515F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成教院教学点分成</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0CA01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31950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&gt;=7个</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55BD3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=9个</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161539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22F44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12EDF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0E83F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D612F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D6DBA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A3C1989">
            <w:pPr>
              <w:jc w:val="center"/>
              <w:rPr>
                <w:rFonts w:hint="eastAsia" w:ascii="宋体" w:hAnsi="宋体" w:eastAsia="宋体" w:cs="宋体"/>
                <w:i w:val="0"/>
                <w:iCs w:val="0"/>
                <w:color w:val="000000"/>
                <w:sz w:val="18"/>
                <w:szCs w:val="18"/>
                <w:u w:val="none"/>
              </w:rPr>
            </w:pPr>
          </w:p>
        </w:tc>
      </w:tr>
      <w:tr w14:paraId="2D355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A14B010">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A1E8C0">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8B02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6B215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人才引进数量</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17060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5DEDA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&gt;=30人</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E96B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=40人</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20B995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D860A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89BF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7496EA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74C4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E5846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4B47076">
            <w:pPr>
              <w:jc w:val="center"/>
              <w:rPr>
                <w:rFonts w:hint="eastAsia" w:ascii="宋体" w:hAnsi="宋体" w:eastAsia="宋体" w:cs="宋体"/>
                <w:i w:val="0"/>
                <w:iCs w:val="0"/>
                <w:color w:val="000000"/>
                <w:sz w:val="18"/>
                <w:szCs w:val="18"/>
                <w:u w:val="none"/>
              </w:rPr>
            </w:pPr>
          </w:p>
        </w:tc>
      </w:tr>
      <w:tr w14:paraId="687D4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9D4056A">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C8B6737">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F12C1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5FE4A0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学科建设数量</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5C653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2BCE5D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&gt;=33个</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270FD1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=31个</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070D32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D9B5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999AD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140C70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3EF8A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6933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7EFC6417">
            <w:pPr>
              <w:jc w:val="center"/>
              <w:rPr>
                <w:rFonts w:hint="eastAsia" w:ascii="宋体" w:hAnsi="宋体" w:eastAsia="宋体" w:cs="宋体"/>
                <w:i w:val="0"/>
                <w:iCs w:val="0"/>
                <w:color w:val="000000"/>
                <w:sz w:val="18"/>
                <w:szCs w:val="18"/>
                <w:u w:val="none"/>
              </w:rPr>
            </w:pPr>
          </w:p>
        </w:tc>
      </w:tr>
      <w:tr w14:paraId="065DD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F0D692">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36E492F">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FBA39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35153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科研平台项目数量</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6B2FA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D6CD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&gt;=37个</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F0E01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=37个</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49987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68671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F9C72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6AF775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41EF8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3882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1F3CA710">
            <w:pPr>
              <w:jc w:val="center"/>
              <w:rPr>
                <w:rFonts w:hint="eastAsia" w:ascii="宋体" w:hAnsi="宋体" w:eastAsia="宋体" w:cs="宋体"/>
                <w:i w:val="0"/>
                <w:iCs w:val="0"/>
                <w:color w:val="000000"/>
                <w:sz w:val="18"/>
                <w:szCs w:val="18"/>
                <w:u w:val="none"/>
              </w:rPr>
            </w:pPr>
          </w:p>
        </w:tc>
      </w:tr>
      <w:tr w14:paraId="0649C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406F25">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14FA80">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4B589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691A4A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校园基建项目</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F3098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0B669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=3栋</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00A2B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=3栋</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4F96C7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A46B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EE08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5AE16A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4583E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直接赋分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16DAE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70EFB54B">
            <w:pPr>
              <w:jc w:val="center"/>
              <w:rPr>
                <w:rFonts w:hint="eastAsia" w:ascii="宋体" w:hAnsi="宋体" w:eastAsia="宋体" w:cs="宋体"/>
                <w:i w:val="0"/>
                <w:iCs w:val="0"/>
                <w:color w:val="000000"/>
                <w:sz w:val="18"/>
                <w:szCs w:val="18"/>
                <w:u w:val="none"/>
              </w:rPr>
            </w:pPr>
          </w:p>
        </w:tc>
      </w:tr>
      <w:tr w14:paraId="28866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40F3E9">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7BBC3F8">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CCADF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06737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校园设施修缮项目</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65253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A3A2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&gt;=6批</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4E577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=6批</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793126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3214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2DC9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0EC41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18个</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11C19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C8DE0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1A6D045E">
            <w:pPr>
              <w:jc w:val="center"/>
              <w:rPr>
                <w:rFonts w:hint="eastAsia" w:ascii="宋体" w:hAnsi="宋体" w:eastAsia="宋体" w:cs="宋体"/>
                <w:i w:val="0"/>
                <w:iCs w:val="0"/>
                <w:color w:val="000000"/>
                <w:sz w:val="18"/>
                <w:szCs w:val="18"/>
                <w:u w:val="none"/>
              </w:rPr>
            </w:pPr>
          </w:p>
        </w:tc>
      </w:tr>
      <w:tr w14:paraId="633A8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D97B601">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E70D08A">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F75A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6AC17B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本科生培养数量、研究生培养数量</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87BD9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2287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&gt;=28000</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1FB6B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=27270</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590FF312">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bdr w:val="none" w:color="auto" w:sz="0" w:space="0"/>
                <w:lang w:val="en-US" w:eastAsia="zh-CN" w:bidi="ar"/>
              </w:rPr>
              <w:t>97</w:t>
            </w:r>
            <w:r>
              <w:rPr>
                <w:rFonts w:hint="eastAsia" w:ascii="宋体" w:hAnsi="宋体" w:cs="宋体"/>
                <w:i w:val="0"/>
                <w:iCs w:val="0"/>
                <w:color w:val="000000"/>
                <w:kern w:val="0"/>
                <w:sz w:val="18"/>
                <w:szCs w:val="18"/>
                <w:u w:val="none"/>
                <w:bdr w:val="none" w:color="auto" w:sz="0" w:space="0"/>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7CF3A5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2.78</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F0BF6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0E7B0C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F5B3E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47A0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3182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学校2025年实际在校生人数为27270人，近几年学校扩招，预计招生人数较往年有所增加。</w:t>
            </w:r>
          </w:p>
        </w:tc>
      </w:tr>
      <w:tr w14:paraId="025C3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A492BD9">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129E009">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5E5E5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17A19B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大学生活动及思</w:t>
            </w:r>
            <w:r>
              <w:rPr>
                <w:rFonts w:hint="eastAsia" w:ascii="宋体" w:hAnsi="宋体" w:cs="宋体"/>
                <w:i w:val="0"/>
                <w:iCs w:val="0"/>
                <w:color w:val="000000"/>
                <w:kern w:val="0"/>
                <w:sz w:val="18"/>
                <w:szCs w:val="18"/>
                <w:u w:val="none"/>
                <w:bdr w:val="none" w:color="auto" w:sz="0" w:space="0"/>
                <w:lang w:val="en-US" w:eastAsia="zh-CN" w:bidi="ar"/>
              </w:rPr>
              <w:t>政课</w:t>
            </w:r>
            <w:r>
              <w:rPr>
                <w:rFonts w:hint="eastAsia" w:ascii="宋体" w:hAnsi="宋体" w:eastAsia="宋体" w:cs="宋体"/>
                <w:i w:val="0"/>
                <w:iCs w:val="0"/>
                <w:color w:val="000000"/>
                <w:kern w:val="0"/>
                <w:sz w:val="18"/>
                <w:szCs w:val="18"/>
                <w:u w:val="none"/>
                <w:bdr w:val="none" w:color="auto" w:sz="0" w:space="0"/>
                <w:lang w:val="en-US" w:eastAsia="zh-CN" w:bidi="ar"/>
              </w:rPr>
              <w:t>覆盖院系数量</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43E466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C692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&gt;=18个</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AF06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=18个</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5A9C6A1D">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bdr w:val="none" w:color="auto" w:sz="0" w:space="0"/>
                <w:lang w:val="en-US" w:eastAsia="zh-CN" w:bidi="ar"/>
              </w:rPr>
              <w:t>100</w:t>
            </w:r>
            <w:r>
              <w:rPr>
                <w:rFonts w:hint="eastAsia" w:ascii="宋体" w:hAnsi="宋体" w:cs="宋体"/>
                <w:i w:val="0"/>
                <w:iCs w:val="0"/>
                <w:color w:val="000000"/>
                <w:kern w:val="0"/>
                <w:sz w:val="18"/>
                <w:szCs w:val="18"/>
                <w:u w:val="none"/>
                <w:bdr w:val="none" w:color="auto" w:sz="0" w:space="0"/>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9D430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A799D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6130C3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2DD8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36559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74267C5">
            <w:pPr>
              <w:jc w:val="center"/>
              <w:rPr>
                <w:rFonts w:hint="eastAsia" w:ascii="宋体" w:hAnsi="宋体" w:eastAsia="宋体" w:cs="宋体"/>
                <w:i w:val="0"/>
                <w:iCs w:val="0"/>
                <w:color w:val="000000"/>
                <w:sz w:val="18"/>
                <w:szCs w:val="18"/>
                <w:u w:val="none"/>
              </w:rPr>
            </w:pPr>
          </w:p>
        </w:tc>
      </w:tr>
      <w:tr w14:paraId="2B717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15AABB">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34B3968">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55CD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3C1A24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设备验收合格率</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90A64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576D7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2DCB7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4D583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6F3F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98D8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63AA73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AA26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428A5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E512E49">
            <w:pPr>
              <w:jc w:val="center"/>
              <w:rPr>
                <w:rFonts w:hint="eastAsia" w:ascii="宋体" w:hAnsi="宋体" w:eastAsia="宋体" w:cs="宋体"/>
                <w:i w:val="0"/>
                <w:iCs w:val="0"/>
                <w:color w:val="000000"/>
                <w:sz w:val="18"/>
                <w:szCs w:val="18"/>
                <w:u w:val="none"/>
              </w:rPr>
            </w:pPr>
          </w:p>
        </w:tc>
      </w:tr>
      <w:tr w14:paraId="03AB9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860D56">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175CD8">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0E06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49912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基建维修类项目验收合格率</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5A2D4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DAA2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C29C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16DEFD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C0897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B4FE5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07CE6B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DFA8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F8AE8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7A9AC7DF">
            <w:pPr>
              <w:jc w:val="center"/>
              <w:rPr>
                <w:rFonts w:hint="eastAsia" w:ascii="宋体" w:hAnsi="宋体" w:eastAsia="宋体" w:cs="宋体"/>
                <w:i w:val="0"/>
                <w:iCs w:val="0"/>
                <w:color w:val="000000"/>
                <w:sz w:val="18"/>
                <w:szCs w:val="18"/>
                <w:u w:val="none"/>
              </w:rPr>
            </w:pPr>
          </w:p>
        </w:tc>
      </w:tr>
      <w:tr w14:paraId="11A24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5CF5240">
            <w:pPr>
              <w:jc w:val="center"/>
              <w:rPr>
                <w:rFonts w:hint="eastAsia" w:ascii="宋体" w:hAnsi="宋体" w:eastAsia="宋体" w:cs="宋体"/>
                <w:b/>
                <w:bCs/>
                <w:i w:val="0"/>
                <w:iCs w:val="0"/>
                <w:color w:val="000000"/>
                <w:sz w:val="18"/>
                <w:szCs w:val="18"/>
                <w:u w:val="none"/>
              </w:rPr>
            </w:pP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43F5D6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73F6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4ACA8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学生勤工助学金岗位月平均标准</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CBF3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436C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=300-500元/人</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286EF7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=300-500元/人</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22E740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FEA9C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B033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212F54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300-500元/人</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88FF0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697F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1D9521D">
            <w:pPr>
              <w:jc w:val="center"/>
              <w:rPr>
                <w:rFonts w:hint="eastAsia" w:ascii="宋体" w:hAnsi="宋体" w:eastAsia="宋体" w:cs="宋体"/>
                <w:i w:val="0"/>
                <w:iCs w:val="0"/>
                <w:color w:val="000000"/>
                <w:sz w:val="18"/>
                <w:szCs w:val="18"/>
                <w:u w:val="none"/>
              </w:rPr>
            </w:pPr>
          </w:p>
        </w:tc>
      </w:tr>
      <w:tr w14:paraId="5D857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DF793A8">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A02E74">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6E33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23D9C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校级科研项目平台标准</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0BD07A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0C5311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&lt;=5万/个</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089249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=5万/个</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795413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709F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24CEE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28AF7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5C780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C42BC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7724B53">
            <w:pPr>
              <w:jc w:val="center"/>
              <w:rPr>
                <w:rFonts w:hint="eastAsia" w:ascii="宋体" w:hAnsi="宋体" w:eastAsia="宋体" w:cs="宋体"/>
                <w:i w:val="0"/>
                <w:iCs w:val="0"/>
                <w:color w:val="000000"/>
                <w:sz w:val="18"/>
                <w:szCs w:val="18"/>
                <w:u w:val="none"/>
              </w:rPr>
            </w:pPr>
          </w:p>
        </w:tc>
      </w:tr>
      <w:tr w14:paraId="7F140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4AD1AFA">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72DCA6">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3BEA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13DDDE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校级学科建设成本</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DB5F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82633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5-10万元/个</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D254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=5-10万元/个</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28084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69E55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0952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6AC69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40元/人</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E40B2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4030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70DE36ED">
            <w:pPr>
              <w:jc w:val="center"/>
              <w:rPr>
                <w:rFonts w:hint="eastAsia" w:ascii="宋体" w:hAnsi="宋体" w:eastAsia="宋体" w:cs="宋体"/>
                <w:i w:val="0"/>
                <w:iCs w:val="0"/>
                <w:color w:val="000000"/>
                <w:sz w:val="18"/>
                <w:szCs w:val="18"/>
                <w:u w:val="none"/>
              </w:rPr>
            </w:pPr>
          </w:p>
        </w:tc>
      </w:tr>
      <w:tr w14:paraId="496ED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21FE1A6">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EB28E9">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0DFAC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2BF423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宿舍楼床体购置标准</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7F9B7C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89FFD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&lt;=3500元/张</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71B19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=3500元/张</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2BCD68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75573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48665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6741B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B748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813CD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69E704CE">
            <w:pPr>
              <w:jc w:val="center"/>
              <w:rPr>
                <w:rFonts w:hint="eastAsia" w:ascii="宋体" w:hAnsi="宋体" w:eastAsia="宋体" w:cs="宋体"/>
                <w:i w:val="0"/>
                <w:iCs w:val="0"/>
                <w:color w:val="000000"/>
                <w:sz w:val="18"/>
                <w:szCs w:val="18"/>
                <w:u w:val="none"/>
              </w:rPr>
            </w:pPr>
          </w:p>
        </w:tc>
      </w:tr>
      <w:tr w14:paraId="0A80B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249C46F">
            <w:pPr>
              <w:jc w:val="center"/>
              <w:rPr>
                <w:rFonts w:hint="eastAsia" w:ascii="宋体" w:hAnsi="宋体" w:eastAsia="宋体" w:cs="宋体"/>
                <w:b/>
                <w:bCs/>
                <w:i w:val="0"/>
                <w:iCs w:val="0"/>
                <w:color w:val="000000"/>
                <w:sz w:val="18"/>
                <w:szCs w:val="18"/>
                <w:u w:val="none"/>
              </w:rPr>
            </w:pP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27F0C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1F87C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4C3D93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改善师生学习生活环境</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2AD279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41A457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有效改善</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5291B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44505D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1C641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3F79F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69F22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有效改善</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22867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98F6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543B9113">
            <w:pPr>
              <w:jc w:val="center"/>
              <w:rPr>
                <w:rFonts w:hint="eastAsia" w:ascii="宋体" w:hAnsi="宋体" w:eastAsia="宋体" w:cs="宋体"/>
                <w:i w:val="0"/>
                <w:iCs w:val="0"/>
                <w:color w:val="000000"/>
                <w:sz w:val="18"/>
                <w:szCs w:val="18"/>
                <w:u w:val="none"/>
              </w:rPr>
            </w:pPr>
          </w:p>
        </w:tc>
      </w:tr>
      <w:tr w14:paraId="1A22B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9FAB5E">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A7C26C">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3B68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5A9E1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减轻学生经济负担</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E5A6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E70C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减轻学生经济负担</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44E970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1F1B28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74B6A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A17EB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070713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减轻学生经济负担</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EC55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8A43F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4B7DA6E8">
            <w:pPr>
              <w:jc w:val="center"/>
              <w:rPr>
                <w:rFonts w:hint="eastAsia" w:ascii="宋体" w:hAnsi="宋体" w:eastAsia="宋体" w:cs="宋体"/>
                <w:i w:val="0"/>
                <w:iCs w:val="0"/>
                <w:color w:val="000000"/>
                <w:sz w:val="18"/>
                <w:szCs w:val="18"/>
                <w:u w:val="none"/>
              </w:rPr>
            </w:pPr>
          </w:p>
        </w:tc>
      </w:tr>
      <w:tr w14:paraId="4C775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C444F76">
            <w:pPr>
              <w:jc w:val="center"/>
              <w:rPr>
                <w:rFonts w:hint="eastAsia" w:ascii="宋体" w:hAnsi="宋体" w:eastAsia="宋体" w:cs="宋体"/>
                <w:b/>
                <w:bCs/>
                <w:i w:val="0"/>
                <w:iCs w:val="0"/>
                <w:color w:val="000000"/>
                <w:sz w:val="18"/>
                <w:szCs w:val="18"/>
                <w:u w:val="none"/>
              </w:rPr>
            </w:pP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39C366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6A090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772B8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教师满意度</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41FDF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2BA5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2BFAB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7252DE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5B68F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5A29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288FEB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38A2E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9177E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66684CC8">
            <w:pPr>
              <w:jc w:val="center"/>
              <w:rPr>
                <w:rFonts w:hint="eastAsia" w:ascii="宋体" w:hAnsi="宋体" w:eastAsia="宋体" w:cs="宋体"/>
                <w:i w:val="0"/>
                <w:iCs w:val="0"/>
                <w:color w:val="000000"/>
                <w:sz w:val="18"/>
                <w:szCs w:val="18"/>
                <w:u w:val="none"/>
              </w:rPr>
            </w:pPr>
          </w:p>
        </w:tc>
      </w:tr>
      <w:tr w14:paraId="1298A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CF8806">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BE4EB6">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21D0C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0768E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学生满意度</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4679B1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6CC43F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38A4B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2014E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r>
              <w:rPr>
                <w:rFonts w:hint="eastAsia" w:ascii="宋体" w:hAnsi="宋体" w:cs="宋体"/>
                <w:i w:val="0"/>
                <w:iCs w:val="0"/>
                <w:color w:val="000000"/>
                <w:kern w:val="0"/>
                <w:sz w:val="18"/>
                <w:szCs w:val="18"/>
                <w:u w:val="none"/>
                <w:lang w:val="en-US" w:eastAsia="zh-CN" w:bidi="ar"/>
              </w:rPr>
              <w:t>%</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204921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5D336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其他标准</w:t>
            </w: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67C115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437F8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7B3CA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678BEF43">
            <w:pPr>
              <w:jc w:val="center"/>
              <w:rPr>
                <w:rFonts w:hint="eastAsia" w:ascii="宋体" w:hAnsi="宋体" w:eastAsia="宋体" w:cs="宋体"/>
                <w:i w:val="0"/>
                <w:iCs w:val="0"/>
                <w:color w:val="000000"/>
                <w:sz w:val="18"/>
                <w:szCs w:val="18"/>
                <w:u w:val="none"/>
              </w:rPr>
            </w:pPr>
          </w:p>
        </w:tc>
      </w:tr>
      <w:tr w14:paraId="7B871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051" w:type="pct"/>
            <w:gridSpan w:val="4"/>
            <w:tcBorders>
              <w:top w:val="single" w:color="000000" w:sz="4" w:space="0"/>
              <w:left w:val="single" w:color="000000" w:sz="4" w:space="0"/>
              <w:bottom w:val="single" w:color="000000" w:sz="4" w:space="0"/>
              <w:right w:val="nil"/>
            </w:tcBorders>
            <w:shd w:val="clear"/>
            <w:vAlign w:val="center"/>
          </w:tcPr>
          <w:p w14:paraId="6C8570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1201DA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553" w:type="pct"/>
            <w:tcBorders>
              <w:top w:val="single" w:color="000000" w:sz="4" w:space="0"/>
              <w:left w:val="nil"/>
              <w:bottom w:val="single" w:color="000000" w:sz="4" w:space="0"/>
              <w:right w:val="single" w:color="000000" w:sz="4" w:space="0"/>
            </w:tcBorders>
            <w:shd w:val="clear"/>
            <w:vAlign w:val="center"/>
          </w:tcPr>
          <w:p w14:paraId="50B930D6">
            <w:pPr>
              <w:rPr>
                <w:rFonts w:hint="eastAsia" w:ascii="宋体" w:hAnsi="宋体" w:eastAsia="宋体" w:cs="宋体"/>
                <w:b/>
                <w:bCs/>
                <w:i w:val="0"/>
                <w:iCs w:val="0"/>
                <w:color w:val="000000"/>
                <w:sz w:val="18"/>
                <w:szCs w:val="18"/>
                <w:u w:val="none"/>
              </w:rPr>
            </w:pPr>
          </w:p>
        </w:tc>
        <w:tc>
          <w:tcPr>
            <w:tcW w:w="553" w:type="pct"/>
            <w:tcBorders>
              <w:top w:val="single" w:color="000000" w:sz="4" w:space="0"/>
              <w:left w:val="single" w:color="000000" w:sz="4" w:space="0"/>
              <w:bottom w:val="single" w:color="000000" w:sz="4" w:space="0"/>
              <w:right w:val="single" w:color="000000" w:sz="4" w:space="0"/>
            </w:tcBorders>
            <w:shd w:val="clear"/>
            <w:vAlign w:val="center"/>
          </w:tcPr>
          <w:p w14:paraId="51C1C5DA">
            <w:pPr>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vAlign w:val="center"/>
          </w:tcPr>
          <w:p w14:paraId="77444A3B">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3A488D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96.21分</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3256A41">
            <w:pPr>
              <w:rPr>
                <w:rFonts w:hint="eastAsia" w:ascii="宋体" w:hAnsi="宋体" w:eastAsia="宋体" w:cs="宋体"/>
                <w:i w:val="0"/>
                <w:iCs w:val="0"/>
                <w:color w:val="000000"/>
                <w:sz w:val="18"/>
                <w:szCs w:val="18"/>
                <w:u w:val="none"/>
              </w:rPr>
            </w:pPr>
          </w:p>
        </w:tc>
        <w:tc>
          <w:tcPr>
            <w:tcW w:w="500" w:type="pct"/>
            <w:tcBorders>
              <w:top w:val="single" w:color="000000" w:sz="4" w:space="0"/>
              <w:left w:val="single" w:color="000000" w:sz="4" w:space="0"/>
              <w:bottom w:val="single" w:color="000000" w:sz="4" w:space="0"/>
              <w:right w:val="single" w:color="000000" w:sz="4" w:space="0"/>
            </w:tcBorders>
            <w:shd w:val="clear"/>
            <w:vAlign w:val="center"/>
          </w:tcPr>
          <w:p w14:paraId="39DF41DD">
            <w:pP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18CAA35F">
            <w:pP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2632E6F">
            <w:pP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vAlign w:val="center"/>
          </w:tcPr>
          <w:p w14:paraId="0602182C">
            <w:pPr>
              <w:rPr>
                <w:rFonts w:hint="eastAsia" w:ascii="宋体" w:hAnsi="宋体" w:eastAsia="宋体" w:cs="宋体"/>
                <w:i w:val="0"/>
                <w:iCs w:val="0"/>
                <w:color w:val="000000"/>
                <w:sz w:val="18"/>
                <w:szCs w:val="18"/>
                <w:u w:val="none"/>
              </w:rPr>
            </w:pPr>
          </w:p>
        </w:tc>
      </w:tr>
    </w:tbl>
    <w:p w14:paraId="6CDB4E4E">
      <w:r>
        <w:br w:type="page"/>
      </w:r>
    </w:p>
    <w:p w14:paraId="43FDDC7F">
      <w:pPr>
        <w:sectPr>
          <w:type w:val="continuous"/>
          <w:pgSz w:w="11906" w:h="16838"/>
          <w:pgMar w:top="1440" w:right="1800" w:bottom="1440" w:left="1800" w:header="851" w:footer="992" w:gutter="0"/>
          <w:cols w:space="720" w:num="1"/>
          <w:docGrid w:type="lines" w:linePitch="312" w:charSpace="0"/>
        </w:sectPr>
      </w:pPr>
    </w:p>
    <w:p w14:paraId="7B9EBE14">
      <w:pPr>
        <w:spacing w:line="640" w:lineRule="exact"/>
        <w:ind w:firstLine="640"/>
        <w:jc w:val="both"/>
        <w:outlineLvl w:val="2"/>
      </w:pPr>
      <w:r>
        <w:rPr>
          <w:rFonts w:ascii="黑体" w:hAnsi="黑体" w:eastAsia="黑体"/>
          <w:sz w:val="32"/>
        </w:rPr>
        <w:t>十二、其他需说明的事项</w:t>
      </w:r>
    </w:p>
    <w:p w14:paraId="6AD19486">
      <w:pPr>
        <w:spacing w:line="580" w:lineRule="exact"/>
        <w:ind w:firstLine="640"/>
        <w:jc w:val="both"/>
      </w:pPr>
      <w:r>
        <w:rPr>
          <w:rFonts w:ascii="仿宋_GB2312" w:hAnsi="仿宋_GB2312" w:eastAsia="仿宋_GB2312"/>
          <w:b w:val="0"/>
          <w:sz w:val="32"/>
        </w:rPr>
        <w:t>本单位无其他需说明的事项。</w:t>
      </w:r>
    </w:p>
    <w:p w14:paraId="30C24D4A">
      <w:r>
        <w:br w:type="page"/>
      </w:r>
    </w:p>
    <w:p w14:paraId="73225DF6">
      <w:pPr>
        <w:spacing w:line="600" w:lineRule="exact"/>
        <w:jc w:val="center"/>
        <w:outlineLvl w:val="0"/>
      </w:pPr>
      <w:r>
        <w:rPr>
          <w:rFonts w:ascii="黑体" w:hAnsi="黑体" w:eastAsia="黑体"/>
          <w:sz w:val="32"/>
        </w:rPr>
        <w:t>第三部分 专业名词解释</w:t>
      </w:r>
    </w:p>
    <w:p w14:paraId="47B393E0">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6239C3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A9FAFDA">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744F1F6">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C673BB">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011503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0D30AF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638B31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00199C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1E2EEA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EF8D4B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2CA601E">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7BC7B9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1F6C3E4">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F3A332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F91A1F8">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B944CD7">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C60FAF6">
      <w:r>
        <w:br w:type="page"/>
      </w:r>
    </w:p>
    <w:p w14:paraId="00575C46">
      <w:pPr>
        <w:spacing w:line="240" w:lineRule="auto"/>
        <w:jc w:val="center"/>
        <w:outlineLvl w:val="1"/>
      </w:pPr>
      <w:r>
        <w:rPr>
          <w:rFonts w:ascii="黑体" w:hAnsi="黑体" w:eastAsia="黑体"/>
          <w:sz w:val="32"/>
        </w:rPr>
        <w:t>第四部分 部门决算报表（见附表）</w:t>
      </w:r>
    </w:p>
    <w:p w14:paraId="67FEC844">
      <w:pPr>
        <w:autoSpaceDE w:val="0"/>
        <w:autoSpaceDN w:val="0"/>
        <w:spacing w:line="600" w:lineRule="exact"/>
        <w:ind w:firstLine="640" w:firstLineChars="200"/>
      </w:pPr>
      <w:r>
        <w:rPr>
          <w:rFonts w:ascii="仿宋_GB2312" w:hAnsi="仿宋_GB2312" w:eastAsia="仿宋_GB2312"/>
          <w:b w:val="0"/>
          <w:sz w:val="32"/>
        </w:rPr>
        <w:t>一、《收入支出决算总表》</w:t>
      </w:r>
    </w:p>
    <w:p w14:paraId="5B57DB52">
      <w:pPr>
        <w:autoSpaceDE w:val="0"/>
        <w:autoSpaceDN w:val="0"/>
        <w:spacing w:line="600" w:lineRule="exact"/>
        <w:ind w:firstLine="640" w:firstLineChars="200"/>
      </w:pPr>
      <w:r>
        <w:rPr>
          <w:rFonts w:ascii="仿宋_GB2312" w:hAnsi="仿宋_GB2312" w:eastAsia="仿宋_GB2312"/>
          <w:b w:val="0"/>
          <w:sz w:val="32"/>
        </w:rPr>
        <w:t>二、《收入决算表》</w:t>
      </w:r>
    </w:p>
    <w:p w14:paraId="1344006A">
      <w:pPr>
        <w:autoSpaceDE w:val="0"/>
        <w:autoSpaceDN w:val="0"/>
        <w:spacing w:line="600" w:lineRule="exact"/>
        <w:ind w:firstLine="640" w:firstLineChars="200"/>
      </w:pPr>
      <w:r>
        <w:rPr>
          <w:rFonts w:ascii="仿宋_GB2312" w:hAnsi="仿宋_GB2312" w:eastAsia="仿宋_GB2312"/>
          <w:b w:val="0"/>
          <w:sz w:val="32"/>
        </w:rPr>
        <w:t>三、《支出决算表》</w:t>
      </w:r>
    </w:p>
    <w:p w14:paraId="527C7F3A">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2923DA1">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083AE57">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141634F">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DFE11B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56019F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AEC8CBC">
      <w:pPr>
        <w:autoSpaceDE w:val="0"/>
        <w:autoSpaceDN w:val="0"/>
        <w:spacing w:line="600" w:lineRule="exact"/>
        <w:ind w:firstLine="640" w:firstLineChars="200"/>
      </w:pPr>
    </w:p>
    <w:p w14:paraId="0DC5DDBA">
      <w:pPr>
        <w:autoSpaceDE w:val="0"/>
        <w:autoSpaceDN w:val="0"/>
        <w:spacing w:line="600" w:lineRule="exact"/>
        <w:ind w:firstLine="640" w:firstLineChars="200"/>
      </w:pPr>
    </w:p>
    <w:p w14:paraId="52E36D80">
      <w:pPr>
        <w:autoSpaceDE w:val="0"/>
        <w:autoSpaceDN w:val="0"/>
        <w:spacing w:line="600" w:lineRule="exact"/>
        <w:ind w:firstLine="640" w:firstLineChars="200"/>
      </w:pPr>
    </w:p>
    <w:p w14:paraId="16540C0C">
      <w:pPr>
        <w:autoSpaceDE w:val="0"/>
        <w:autoSpaceDN w:val="0"/>
        <w:spacing w:line="600" w:lineRule="exact"/>
        <w:ind w:firstLine="640" w:firstLineChars="200"/>
      </w:pPr>
    </w:p>
    <w:p w14:paraId="3E36B216">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C8A83E-B7EC-4DD3-97F8-81B39B84B8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BC02545-B871-49C3-B6F5-06856C8906DA}"/>
  </w:font>
  <w:font w:name="仿宋_GB2312">
    <w:panose1 w:val="02010609030101010101"/>
    <w:charset w:val="86"/>
    <w:family w:val="modern"/>
    <w:pitch w:val="default"/>
    <w:sig w:usb0="00000001" w:usb1="080E0000" w:usb2="00000000" w:usb3="00000000" w:csb0="00040000" w:csb1="00000000"/>
    <w:embedRegular r:id="rId3" w:fontKey="{C3D7A12F-203E-42D1-B4AF-C6E0A82F5B79}"/>
  </w:font>
  <w:font w:name="楷体_GB2312">
    <w:altName w:val="楷体"/>
    <w:panose1 w:val="00000000000000000000"/>
    <w:charset w:val="00"/>
    <w:family w:val="auto"/>
    <w:pitch w:val="default"/>
    <w:sig w:usb0="00000000" w:usb1="00000000" w:usb2="00000000" w:usb3="00000000" w:csb0="00000000" w:csb1="00000000"/>
    <w:embedRegular r:id="rId4" w:fontKey="{E5C3178B-0AA2-4C1A-B144-8439416B0A8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EEF775D"/>
    <w:rsid w:val="2F9E416C"/>
    <w:rsid w:val="2FD27414"/>
    <w:rsid w:val="313F1D52"/>
    <w:rsid w:val="318029AB"/>
    <w:rsid w:val="319D6C1C"/>
    <w:rsid w:val="31C63837"/>
    <w:rsid w:val="326F0A17"/>
    <w:rsid w:val="32DC2D25"/>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4D1CB2"/>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 w:val="7F80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d4866160-bfc5-452b-9d88-9ed7f1482802</errorID>
      <errorWord>小</errorWord>
      <group>L1_Word</group>
      <groupName>字词问题</groupName>
      <ability>L2_Typo</ability>
      <abilityName>字词错误</abilityName>
      <candidateList>
        <item>小学</item>
      </candidateList>
      <explain/>
      <paraID>4035C54C</paraID>
      <start>174</start>
      <end>175</end>
      <status>ignored</status>
      <modifiedWord/>
      <trackRevisions>false</trackRevisions>
    </reviewItem>
    <reviewItem>
      <errorID>413f0882-e69d-422c-86c8-43f3b52258e3</errorID>
      <errorWord>小</errorWord>
      <group>L1_Word</group>
      <groupName>字词问题</groupName>
      <ability>L2_Typo</ability>
      <abilityName>字词错误</abilityName>
      <candidateList>
        <item>小学</item>
      </candidateList>
      <explain/>
      <paraID> 46EB1E4</paraID>
      <start>94</start>
      <end>95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19029ad-efaf-45b0-8296-1a5c5600a957}">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11193</Words>
  <Characters>12575</Characters>
  <Lines>10</Lines>
  <Paragraphs>2</Paragraphs>
  <TotalTime>2</TotalTime>
  <ScaleCrop>false</ScaleCrop>
  <LinksUpToDate>false</LinksUpToDate>
  <CharactersWithSpaces>12585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2026-09-03T03:26:22Z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