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bookmarkStart w:id="0" w:name="_GoBack"/>
      <w:bookmarkEnd w:id="0"/>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喀什大学附属中学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77BC9602">
      <w:r>
        <w:br w:type="page"/>
      </w:r>
    </w:p>
    <w:p w14:paraId="62462A62">
      <w:pPr>
        <w:spacing w:line="640" w:lineRule="exact"/>
        <w:jc w:val="center"/>
        <w:outlineLvl w:val="1"/>
      </w:pPr>
      <w:r>
        <w:rPr>
          <w:rFonts w:ascii="黑体" w:hAnsi="黑体" w:eastAsia="黑体"/>
          <w:sz w:val="32"/>
        </w:rPr>
        <w:t>第一部分 单位概况</w:t>
      </w:r>
    </w:p>
    <w:p w14:paraId="76C2F822">
      <w:pPr>
        <w:spacing w:line="640" w:lineRule="exact"/>
        <w:ind w:firstLine="640"/>
        <w:jc w:val="both"/>
        <w:outlineLvl w:val="2"/>
      </w:pPr>
      <w:r>
        <w:rPr>
          <w:rFonts w:ascii="黑体" w:hAnsi="黑体" w:eastAsia="黑体"/>
          <w:sz w:val="32"/>
        </w:rPr>
        <w:t>一、主要职能</w:t>
      </w:r>
    </w:p>
    <w:p w14:paraId="0940A4E8">
      <w:pPr>
        <w:spacing w:line="580" w:lineRule="exact"/>
        <w:ind w:firstLine="640"/>
        <w:jc w:val="both"/>
      </w:pPr>
      <w:r>
        <w:rPr>
          <w:rFonts w:ascii="仿宋_GB2312" w:hAnsi="仿宋_GB2312" w:eastAsia="仿宋_GB2312"/>
          <w:sz w:val="32"/>
        </w:rPr>
        <w:t>喀什大学附属中学于1983年6月试办、1984年12月自治区教育厅批准成立，是自治区教育厅直属、包括初中部、高中部在内的全日制完全中学。</w:t>
      </w:r>
    </w:p>
    <w:p w14:paraId="25BE21ED">
      <w:pPr>
        <w:spacing w:line="640" w:lineRule="exact"/>
        <w:ind w:firstLine="640"/>
        <w:jc w:val="both"/>
        <w:outlineLvl w:val="2"/>
      </w:pPr>
      <w:r>
        <w:rPr>
          <w:rFonts w:ascii="黑体" w:hAnsi="黑体" w:eastAsia="黑体"/>
          <w:sz w:val="32"/>
        </w:rPr>
        <w:t>二、机构设置</w:t>
      </w:r>
    </w:p>
    <w:p w14:paraId="597F1355">
      <w:pPr>
        <w:spacing w:line="580" w:lineRule="exact"/>
        <w:ind w:firstLine="640"/>
        <w:jc w:val="both"/>
      </w:pPr>
      <w:r>
        <w:rPr>
          <w:rFonts w:ascii="仿宋_GB2312" w:hAnsi="仿宋_GB2312" w:eastAsia="仿宋_GB2312"/>
          <w:sz w:val="32"/>
        </w:rPr>
        <w:t>喀什大学附属中学无下属预算单位。</w:t>
      </w:r>
    </w:p>
    <w:p w14:paraId="235BD834">
      <w:r>
        <w:br w:type="page"/>
      </w:r>
    </w:p>
    <w:p w14:paraId="24A59FDB">
      <w:pPr>
        <w:spacing w:line="240" w:lineRule="auto"/>
        <w:jc w:val="center"/>
        <w:outlineLvl w:val="1"/>
      </w:pPr>
      <w:r>
        <w:rPr>
          <w:rFonts w:ascii="黑体" w:hAnsi="黑体" w:eastAsia="黑体"/>
          <w:sz w:val="32"/>
        </w:rPr>
        <w:t>第二部分 部门决算情况说明</w:t>
      </w:r>
    </w:p>
    <w:p w14:paraId="5D37EBEB">
      <w:pPr>
        <w:spacing w:line="640" w:lineRule="exact"/>
        <w:ind w:firstLine="640"/>
        <w:jc w:val="both"/>
        <w:outlineLvl w:val="2"/>
      </w:pPr>
      <w:r>
        <w:rPr>
          <w:rFonts w:ascii="黑体" w:hAnsi="黑体" w:eastAsia="黑体"/>
          <w:sz w:val="32"/>
        </w:rPr>
        <w:t>一、收入支出决算总体情况说明</w:t>
      </w:r>
    </w:p>
    <w:p w14:paraId="63394978">
      <w:pPr>
        <w:spacing w:line="580" w:lineRule="exact"/>
        <w:ind w:firstLine="640"/>
        <w:jc w:val="both"/>
      </w:pPr>
      <w:r>
        <w:rPr>
          <w:rFonts w:ascii="仿宋_GB2312" w:hAnsi="仿宋_GB2312" w:eastAsia="仿宋_GB2312"/>
          <w:b/>
          <w:sz w:val="32"/>
        </w:rPr>
        <w:t>2025年度收入总计1,793.45万元，</w:t>
      </w:r>
      <w:r>
        <w:rPr>
          <w:rFonts w:ascii="仿宋_GB2312" w:hAnsi="仿宋_GB2312" w:eastAsia="仿宋_GB2312"/>
          <w:b w:val="0"/>
          <w:sz w:val="32"/>
        </w:rPr>
        <w:t>其中：本年收入合计1,709.76万元，使用非财政拨款结余（含专用结余）0.00万元，年初结转和结余83.69万元。</w:t>
      </w:r>
    </w:p>
    <w:p w14:paraId="119FC1C7">
      <w:pPr>
        <w:spacing w:line="580" w:lineRule="exact"/>
        <w:ind w:firstLine="640"/>
        <w:jc w:val="both"/>
      </w:pPr>
      <w:r>
        <w:rPr>
          <w:rFonts w:ascii="仿宋_GB2312" w:hAnsi="仿宋_GB2312" w:eastAsia="仿宋_GB2312"/>
          <w:b/>
          <w:sz w:val="32"/>
        </w:rPr>
        <w:t>2025年度支出总计1,793.45万元，</w:t>
      </w:r>
      <w:r>
        <w:rPr>
          <w:rFonts w:ascii="仿宋_GB2312" w:hAnsi="仿宋_GB2312" w:eastAsia="仿宋_GB2312"/>
          <w:b w:val="0"/>
          <w:sz w:val="32"/>
        </w:rPr>
        <w:t>其中：本年支出合计1,748.24万元，结余分配0.00万元，年末结转和结余45.21万元。</w:t>
      </w:r>
    </w:p>
    <w:p w14:paraId="2B2F999D">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61.19万元，下降3.30%，主要原因是：学生人数减少，课后服务费较上年有所减少导致其他收入与上年相比较少；本年城乡校舍安全保障长效机制项目、中央义务教育薄弱环节改善与能力提升补助资金支出较上年减少。</w:t>
      </w:r>
    </w:p>
    <w:p w14:paraId="7E7BED6F">
      <w:pPr>
        <w:spacing w:line="640" w:lineRule="exact"/>
        <w:ind w:firstLine="640"/>
        <w:jc w:val="both"/>
        <w:outlineLvl w:val="2"/>
      </w:pPr>
      <w:r>
        <w:rPr>
          <w:rFonts w:ascii="黑体" w:hAnsi="黑体" w:eastAsia="黑体"/>
          <w:sz w:val="32"/>
        </w:rPr>
        <w:t>二、收入决算情况说明</w:t>
      </w:r>
    </w:p>
    <w:p w14:paraId="265C4A33">
      <w:pPr>
        <w:spacing w:line="580" w:lineRule="exact"/>
        <w:ind w:firstLine="640"/>
        <w:jc w:val="both"/>
      </w:pPr>
      <w:r>
        <w:rPr>
          <w:rFonts w:ascii="仿宋_GB2312" w:hAnsi="仿宋_GB2312" w:eastAsia="仿宋_GB2312"/>
          <w:b/>
          <w:sz w:val="32"/>
        </w:rPr>
        <w:t>本年收入1,709.76万元，</w:t>
      </w:r>
      <w:r>
        <w:rPr>
          <w:rFonts w:ascii="仿宋_GB2312" w:hAnsi="仿宋_GB2312" w:eastAsia="仿宋_GB2312"/>
          <w:b w:val="0"/>
          <w:sz w:val="32"/>
        </w:rPr>
        <w:t>其中：财政拨款收入1,661.83万元，占97.20%；上级补助收入0.00万元，占0.00%；事业收入0.00万元，占0.00%；经营收入0.00万元，占0.00%；附属单位上缴收入0.00万元，占0.00%；其他收入47.93万元，占2.80%。</w:t>
      </w:r>
    </w:p>
    <w:p w14:paraId="4D1E3F7C">
      <w:pPr>
        <w:spacing w:line="640" w:lineRule="exact"/>
        <w:ind w:firstLine="640"/>
        <w:jc w:val="both"/>
        <w:outlineLvl w:val="2"/>
      </w:pPr>
      <w:r>
        <w:rPr>
          <w:rFonts w:ascii="黑体" w:hAnsi="黑体" w:eastAsia="黑体"/>
          <w:sz w:val="32"/>
        </w:rPr>
        <w:t>三、支出决算情况说明</w:t>
      </w:r>
    </w:p>
    <w:p w14:paraId="3AED2A83">
      <w:pPr>
        <w:spacing w:line="580" w:lineRule="exact"/>
        <w:ind w:firstLine="640"/>
        <w:jc w:val="both"/>
      </w:pPr>
      <w:r>
        <w:rPr>
          <w:rFonts w:ascii="仿宋_GB2312" w:hAnsi="仿宋_GB2312" w:eastAsia="仿宋_GB2312"/>
          <w:b/>
          <w:sz w:val="32"/>
        </w:rPr>
        <w:t>本年支出1,748.24万元，</w:t>
      </w:r>
      <w:r>
        <w:rPr>
          <w:rFonts w:ascii="仿宋_GB2312" w:hAnsi="仿宋_GB2312" w:eastAsia="仿宋_GB2312"/>
          <w:b w:val="0"/>
          <w:sz w:val="32"/>
        </w:rPr>
        <w:t>其中：基本支出1,244.37万元，占71.18%；项目支出503.87万元，占28.82%；上缴上级支出0.00万元，占0.00%；经营支出0.00万元，占0.00%；对附属单位补助支出0.00万元，占0.00%。</w:t>
      </w:r>
    </w:p>
    <w:p w14:paraId="72F72CB7">
      <w:pPr>
        <w:spacing w:line="640" w:lineRule="exact"/>
        <w:ind w:firstLine="640"/>
        <w:jc w:val="both"/>
        <w:outlineLvl w:val="2"/>
      </w:pPr>
      <w:r>
        <w:rPr>
          <w:rFonts w:ascii="黑体" w:hAnsi="黑体" w:eastAsia="黑体"/>
          <w:sz w:val="32"/>
        </w:rPr>
        <w:t>四、财政拨款收入支出决算总体情况说明</w:t>
      </w:r>
    </w:p>
    <w:p w14:paraId="69780DD2">
      <w:pPr>
        <w:spacing w:line="580" w:lineRule="exact"/>
        <w:ind w:firstLine="640"/>
        <w:jc w:val="both"/>
      </w:pPr>
      <w:r>
        <w:rPr>
          <w:rFonts w:ascii="仿宋_GB2312" w:hAnsi="仿宋_GB2312" w:eastAsia="仿宋_GB2312"/>
          <w:b/>
          <w:sz w:val="32"/>
        </w:rPr>
        <w:t>2025年度财政拨款收入总计1,736.92万元，</w:t>
      </w:r>
      <w:r>
        <w:rPr>
          <w:rFonts w:ascii="仿宋_GB2312" w:hAnsi="仿宋_GB2312" w:eastAsia="仿宋_GB2312"/>
          <w:b w:val="0"/>
          <w:sz w:val="32"/>
        </w:rPr>
        <w:t>其中：年初财政拨款结转和结余75.09万元，本年财政拨款收入1,661.83万元。</w:t>
      </w:r>
      <w:r>
        <w:rPr>
          <w:rFonts w:ascii="仿宋_GB2312" w:hAnsi="仿宋_GB2312" w:eastAsia="仿宋_GB2312"/>
          <w:b/>
          <w:sz w:val="32"/>
        </w:rPr>
        <w:t>财政拨款支出总计1,736.92万元，</w:t>
      </w:r>
      <w:r>
        <w:rPr>
          <w:rFonts w:ascii="仿宋_GB2312" w:hAnsi="仿宋_GB2312" w:eastAsia="仿宋_GB2312"/>
          <w:b w:val="0"/>
          <w:sz w:val="32"/>
        </w:rPr>
        <w:t>其中：年末财政拨款结转和结余36.14万元，本年财政拨款支出1,700.77万元。</w:t>
      </w:r>
    </w:p>
    <w:p w14:paraId="6762FA4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减少59.79万元，下降3.33%，主要原因是：本年城乡校舍安全保障长效机制项目、中央义务教育薄弱环节改善与能力提升补助资金支出较上年减少。</w:t>
      </w:r>
      <w:r>
        <w:rPr>
          <w:rFonts w:ascii="仿宋_GB2312" w:hAnsi="仿宋_GB2312" w:eastAsia="仿宋_GB2312"/>
          <w:b/>
          <w:sz w:val="32"/>
        </w:rPr>
        <w:t>与年初预算相比，</w:t>
      </w:r>
      <w:r>
        <w:rPr>
          <w:rFonts w:ascii="仿宋_GB2312" w:hAnsi="仿宋_GB2312" w:eastAsia="仿宋_GB2312"/>
          <w:b w:val="0"/>
          <w:sz w:val="32"/>
        </w:rPr>
        <w:t>年初预算数1,562.32万元，决算数1,736.92万元，预决算差异率11.18%，主要原因是：年初编制预算时，只包含了基本支出，无法预测财政拨付项目资金额，项目存在不确定性，只能根据项目到账收入追加预算，按照拨款项目进行列支从而形成差异。其中年中追加2025年中央城乡义务教育补助项目（第二批）----初中家庭经济困难学生生活补助、2025年中央学生资助补助资金（第二批）----高中免学费、2025年中央学生资助补助资金（第二批）----高中助学金、追加安排自治区本级中小学少先队辅导员岗位津贴等项目。</w:t>
      </w:r>
    </w:p>
    <w:p w14:paraId="63795322">
      <w:pPr>
        <w:spacing w:line="640" w:lineRule="exact"/>
        <w:ind w:firstLine="640"/>
        <w:jc w:val="both"/>
        <w:outlineLvl w:val="2"/>
      </w:pPr>
      <w:r>
        <w:rPr>
          <w:rFonts w:ascii="黑体" w:hAnsi="黑体" w:eastAsia="黑体"/>
          <w:sz w:val="32"/>
        </w:rPr>
        <w:t>五、一般公共预算财政拨款支出决算情况说明</w:t>
      </w:r>
    </w:p>
    <w:p w14:paraId="2586FB58">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事业发展等重点支出，体现在有关支出科目中。</w:t>
      </w:r>
    </w:p>
    <w:p w14:paraId="11C80F9E">
      <w:pPr>
        <w:spacing w:line="580" w:lineRule="exact"/>
        <w:ind w:firstLine="640"/>
        <w:jc w:val="both"/>
      </w:pPr>
      <w:r>
        <w:rPr>
          <w:rFonts w:ascii="仿宋_GB2312" w:hAnsi="仿宋_GB2312" w:eastAsia="仿宋_GB2312"/>
          <w:b w:val="0"/>
          <w:sz w:val="32"/>
        </w:rPr>
        <w:t>按照支出功能分类，教育支出（类）普通教育（款）高中教育（项）的支出占本年财政拨款支出总额的比重最高，2025年度决算数为1,510.06万元，占比88.79%，主要用于人员类经费支出、运转类公用支出、高中阶段项目助学金及高中免学费项目中的设备采购和校园运转经费等。</w:t>
      </w:r>
    </w:p>
    <w:p w14:paraId="19784917">
      <w:pPr>
        <w:spacing w:line="640" w:lineRule="exact"/>
        <w:ind w:firstLine="640"/>
        <w:jc w:val="both"/>
        <w:outlineLvl w:val="3"/>
      </w:pPr>
      <w:r>
        <w:rPr>
          <w:rFonts w:ascii="楷体_GB2312" w:hAnsi="楷体_GB2312" w:eastAsia="楷体_GB2312"/>
          <w:b/>
          <w:sz w:val="32"/>
        </w:rPr>
        <w:t>（一）一般公共预算财政拨款支出决算总体情况</w:t>
      </w:r>
    </w:p>
    <w:p w14:paraId="1CC22A01">
      <w:pPr>
        <w:spacing w:line="580" w:lineRule="exact"/>
        <w:ind w:firstLine="640"/>
        <w:jc w:val="both"/>
      </w:pPr>
      <w:r>
        <w:rPr>
          <w:rFonts w:ascii="仿宋_GB2312" w:hAnsi="仿宋_GB2312" w:eastAsia="仿宋_GB2312"/>
          <w:b/>
          <w:sz w:val="32"/>
        </w:rPr>
        <w:t>2025年度一般公共预算财政拨款支出1,700.77万元，</w:t>
      </w:r>
      <w:r>
        <w:rPr>
          <w:rFonts w:ascii="仿宋_GB2312" w:hAnsi="仿宋_GB2312" w:eastAsia="仿宋_GB2312"/>
          <w:b w:val="0"/>
          <w:sz w:val="32"/>
        </w:rPr>
        <w:t>占本年支出合计的97.28%。</w:t>
      </w:r>
      <w:r>
        <w:rPr>
          <w:rFonts w:ascii="仿宋_GB2312" w:hAnsi="仿宋_GB2312" w:eastAsia="仿宋_GB2312"/>
          <w:b/>
          <w:sz w:val="32"/>
        </w:rPr>
        <w:t>与上年相比，</w:t>
      </w:r>
      <w:r>
        <w:rPr>
          <w:rFonts w:ascii="仿宋_GB2312" w:hAnsi="仿宋_GB2312" w:eastAsia="仿宋_GB2312"/>
          <w:b w:val="0"/>
          <w:sz w:val="32"/>
        </w:rPr>
        <w:t>减少20.61万元，下降1.20%，主要原因是：本年城乡校舍安全保障长效机制项目、中央义务教育薄弱环节改善与能力提升补助资金支出较上年减少。</w:t>
      </w:r>
      <w:r>
        <w:rPr>
          <w:rFonts w:ascii="仿宋_GB2312" w:hAnsi="仿宋_GB2312" w:eastAsia="仿宋_GB2312"/>
          <w:b/>
          <w:sz w:val="32"/>
        </w:rPr>
        <w:t>与年初预算相比，</w:t>
      </w:r>
      <w:r>
        <w:rPr>
          <w:rFonts w:ascii="仿宋_GB2312" w:hAnsi="仿宋_GB2312" w:eastAsia="仿宋_GB2312"/>
          <w:b w:val="0"/>
          <w:sz w:val="32"/>
        </w:rPr>
        <w:t>年初预算数1,562.32万元，决算数1,700.77万元，预决算差异率8.86%，主要原因是：年初编制预算时，只包含了基本支出，无法预测财政拨付项目资金额，项目存在不确定性，只能根据项目到账收入追加预算，按照拨款项目进行列支从而形成差异。其中年中追加2025年中央城乡义务教育补助项目（第二批）----初中家庭经济困难学生生活补助、2025年中央学生资助补助资金（第二批）----高中免学费、2025年中央学生资助补助资金（第二批）----高中助学金、追加安排自治区本级中小学少先队辅导员岗位津贴等项目。</w:t>
      </w:r>
    </w:p>
    <w:p w14:paraId="21858CEF">
      <w:pPr>
        <w:spacing w:line="640" w:lineRule="exact"/>
        <w:ind w:firstLine="640"/>
        <w:jc w:val="both"/>
        <w:outlineLvl w:val="3"/>
      </w:pPr>
      <w:r>
        <w:rPr>
          <w:rFonts w:ascii="楷体_GB2312" w:hAnsi="楷体_GB2312" w:eastAsia="楷体_GB2312"/>
          <w:b/>
          <w:sz w:val="32"/>
        </w:rPr>
        <w:t>（二）一般公共预算财政拨款支出决算结构情况</w:t>
      </w:r>
    </w:p>
    <w:p w14:paraId="10F2A631">
      <w:pPr>
        <w:spacing w:line="580" w:lineRule="exact"/>
        <w:ind w:firstLine="640"/>
        <w:jc w:val="both"/>
      </w:pPr>
      <w:r>
        <w:rPr>
          <w:rFonts w:ascii="仿宋_GB2312" w:hAnsi="仿宋_GB2312" w:eastAsia="仿宋_GB2312"/>
          <w:b w:val="0"/>
          <w:sz w:val="32"/>
        </w:rPr>
        <w:t>1.教育支出（类）1,700.77万元，占100.00%。</w:t>
      </w:r>
    </w:p>
    <w:p w14:paraId="67DA28C5">
      <w:pPr>
        <w:spacing w:line="640" w:lineRule="exact"/>
        <w:ind w:firstLine="640"/>
        <w:jc w:val="both"/>
        <w:outlineLvl w:val="3"/>
      </w:pPr>
      <w:r>
        <w:rPr>
          <w:rFonts w:ascii="楷体_GB2312" w:hAnsi="楷体_GB2312" w:eastAsia="楷体_GB2312"/>
          <w:b/>
          <w:sz w:val="32"/>
        </w:rPr>
        <w:t>（三）一般公共预算财政拨款支出决算具体情况</w:t>
      </w:r>
    </w:p>
    <w:p w14:paraId="39C256B8">
      <w:pPr>
        <w:spacing w:line="580" w:lineRule="exact"/>
        <w:ind w:firstLine="640"/>
        <w:jc w:val="both"/>
      </w:pPr>
      <w:r>
        <w:rPr>
          <w:rFonts w:ascii="仿宋_GB2312" w:hAnsi="仿宋_GB2312" w:eastAsia="仿宋_GB2312"/>
          <w:b w:val="0"/>
          <w:sz w:val="32"/>
        </w:rPr>
        <w:t>1.教育支出（类）普通教育（款）学前教育（项）：支出决算数为7.97万元，比上年决算减少33.24万元，下降80.66%，主要原因是：校附属幼儿园本年度较上年专项资金减少，因师资及生源不足，暂时闭园，本着财政资金专款专用的原则，2025年自治区年初预算项目资金-自治区本级幼儿园保教费用财政补助资金项目仅在年初支出七万余元作为闭园安置编制外教职工费用，其余资金均上报财政将其收回。</w:t>
      </w:r>
    </w:p>
    <w:p w14:paraId="632B08FD">
      <w:pPr>
        <w:spacing w:line="580" w:lineRule="exact"/>
        <w:ind w:firstLine="640"/>
        <w:jc w:val="both"/>
      </w:pPr>
      <w:r>
        <w:rPr>
          <w:rFonts w:ascii="仿宋_GB2312" w:hAnsi="仿宋_GB2312" w:eastAsia="仿宋_GB2312"/>
          <w:b w:val="0"/>
          <w:sz w:val="32"/>
        </w:rPr>
        <w:t>2.教育支出（类）普通教育（款）小学教育（项）：支出决算数为0.10万元，比上年决算减少0.14万元，下降58.33%，主要原因是：本年减少城乡义务教育补助经费预算的通知（家庭经济困难学生补助-小学）项目。</w:t>
      </w:r>
    </w:p>
    <w:p w14:paraId="22932C08">
      <w:pPr>
        <w:spacing w:line="580" w:lineRule="exact"/>
        <w:ind w:firstLine="640"/>
        <w:jc w:val="both"/>
      </w:pPr>
      <w:r>
        <w:rPr>
          <w:rFonts w:ascii="仿宋_GB2312" w:hAnsi="仿宋_GB2312" w:eastAsia="仿宋_GB2312"/>
          <w:b w:val="0"/>
          <w:sz w:val="32"/>
        </w:rPr>
        <w:t>3.教育支出（类）普通教育（款）初中教育（项）：支出决算数为182.64万元，比上年决算减少48.74万元，下降21.06%，主要原因是：本年城乡校舍安全保障长效机制项目、中央义务教育薄弱环节改善与能力提升补助资金支出较上年减少。</w:t>
      </w:r>
    </w:p>
    <w:p w14:paraId="2B180727">
      <w:pPr>
        <w:spacing w:line="580" w:lineRule="exact"/>
        <w:ind w:firstLine="640"/>
        <w:jc w:val="both"/>
      </w:pPr>
      <w:r>
        <w:rPr>
          <w:rFonts w:ascii="仿宋_GB2312" w:hAnsi="仿宋_GB2312" w:eastAsia="仿宋_GB2312"/>
          <w:b w:val="0"/>
          <w:sz w:val="32"/>
        </w:rPr>
        <w:t>4.教育支出（类）普通教育（款）高中教育（项）：支出决算数为1,510.06万元，比上年决算增加61.51万元，增长4.25%，主要原因是：我校以优先发展高中阶段学生教学为主，经费相应功能科目大部分为高中教育，2025年下半年新聘教师人数增加及人员工资普调，人员工资、社保缴纳及住房公积金经费增加较大以及教学环境和相关教学设施建设公用经费增加较大。</w:t>
      </w:r>
    </w:p>
    <w:p w14:paraId="25260764">
      <w:pPr>
        <w:spacing w:line="640" w:lineRule="exact"/>
        <w:ind w:firstLine="640"/>
        <w:jc w:val="both"/>
        <w:outlineLvl w:val="2"/>
      </w:pPr>
      <w:r>
        <w:rPr>
          <w:rFonts w:ascii="黑体" w:hAnsi="黑体" w:eastAsia="黑体"/>
          <w:sz w:val="32"/>
        </w:rPr>
        <w:t>六、一般公共预算财政拨款基本支出决算情况说明</w:t>
      </w:r>
    </w:p>
    <w:p w14:paraId="1B459A11">
      <w:pPr>
        <w:spacing w:line="580" w:lineRule="exact"/>
        <w:ind w:firstLine="640"/>
        <w:jc w:val="both"/>
      </w:pPr>
      <w:r>
        <w:rPr>
          <w:rFonts w:ascii="仿宋_GB2312" w:hAnsi="仿宋_GB2312" w:eastAsia="仿宋_GB2312"/>
          <w:b w:val="0"/>
          <w:sz w:val="32"/>
        </w:rPr>
        <w:t>2025年度一般公共预算财政拨款基本支出1,196.90万元，其中：</w:t>
      </w:r>
      <w:r>
        <w:rPr>
          <w:rFonts w:ascii="仿宋_GB2312" w:hAnsi="仿宋_GB2312" w:eastAsia="仿宋_GB2312"/>
          <w:b/>
          <w:sz w:val="32"/>
        </w:rPr>
        <w:t>人员经费1,047.04万元，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其他对个人和家庭的补助。</w:t>
      </w:r>
    </w:p>
    <w:p w14:paraId="1D7460DA">
      <w:pPr>
        <w:spacing w:line="580" w:lineRule="exact"/>
        <w:ind w:firstLine="640"/>
        <w:jc w:val="both"/>
      </w:pPr>
      <w:r>
        <w:rPr>
          <w:rFonts w:ascii="仿宋_GB2312" w:hAnsi="仿宋_GB2312" w:eastAsia="仿宋_GB2312"/>
          <w:b/>
          <w:sz w:val="32"/>
        </w:rPr>
        <w:t>公用经费149.86万元，</w:t>
      </w:r>
      <w:r>
        <w:rPr>
          <w:rFonts w:ascii="仿宋_GB2312" w:hAnsi="仿宋_GB2312" w:eastAsia="仿宋_GB2312"/>
          <w:b w:val="0"/>
          <w:sz w:val="32"/>
        </w:rPr>
        <w:t>包括：办公费、印刷费、手续费、水费、电费、取暖费、差旅费、维修（护）费、培训费、专用材料费、劳务费、工会经费、福利费、其他交通费用、其他商品和服务支出。</w:t>
      </w:r>
    </w:p>
    <w:p w14:paraId="65352E0C">
      <w:pPr>
        <w:spacing w:line="640" w:lineRule="exact"/>
        <w:ind w:firstLine="640"/>
        <w:jc w:val="both"/>
        <w:outlineLvl w:val="2"/>
      </w:pPr>
      <w:r>
        <w:rPr>
          <w:rFonts w:ascii="黑体" w:hAnsi="黑体" w:eastAsia="黑体"/>
          <w:sz w:val="32"/>
        </w:rPr>
        <w:t>七、政府性基金预算财政拨款收入支出决算情况说明</w:t>
      </w:r>
    </w:p>
    <w:p w14:paraId="646BED0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97D99B7">
      <w:pPr>
        <w:spacing w:line="640" w:lineRule="exact"/>
        <w:ind w:firstLine="640"/>
        <w:jc w:val="both"/>
        <w:outlineLvl w:val="2"/>
      </w:pPr>
      <w:r>
        <w:rPr>
          <w:rFonts w:ascii="黑体" w:hAnsi="黑体" w:eastAsia="黑体"/>
          <w:sz w:val="32"/>
        </w:rPr>
        <w:t>八、国有资本经营预算财政拨款收入支出决算情况说明</w:t>
      </w:r>
    </w:p>
    <w:p w14:paraId="15E8655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3988A60">
      <w:pPr>
        <w:spacing w:line="640" w:lineRule="exact"/>
        <w:ind w:firstLine="640"/>
        <w:jc w:val="both"/>
        <w:outlineLvl w:val="2"/>
      </w:pPr>
      <w:r>
        <w:rPr>
          <w:rFonts w:ascii="黑体" w:hAnsi="黑体" w:eastAsia="黑体"/>
          <w:sz w:val="32"/>
        </w:rPr>
        <w:t>九、财政拨款“三公”经费支出决算情况说明</w:t>
      </w:r>
    </w:p>
    <w:p w14:paraId="537CDC6D">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46D75955">
      <w:pPr>
        <w:spacing w:line="580" w:lineRule="exact"/>
        <w:ind w:firstLine="640"/>
        <w:jc w:val="both"/>
      </w:pPr>
      <w:r>
        <w:rPr>
          <w:rFonts w:ascii="仿宋_GB2312" w:hAnsi="仿宋_GB2312" w:eastAsia="仿宋_GB2312"/>
          <w:b/>
          <w:sz w:val="32"/>
        </w:rPr>
        <w:t>具体情况如下：</w:t>
      </w:r>
    </w:p>
    <w:p w14:paraId="212FA981">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489E68F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0C4A951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66F266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848F023">
      <w:pPr>
        <w:spacing w:line="640" w:lineRule="exact"/>
        <w:ind w:firstLine="640"/>
        <w:jc w:val="both"/>
        <w:outlineLvl w:val="2"/>
      </w:pPr>
      <w:r>
        <w:rPr>
          <w:rFonts w:ascii="黑体" w:hAnsi="黑体" w:eastAsia="黑体"/>
          <w:sz w:val="32"/>
        </w:rPr>
        <w:t>十、其他重要事项的情况说明</w:t>
      </w:r>
    </w:p>
    <w:p w14:paraId="0BC3245B">
      <w:pPr>
        <w:spacing w:line="640" w:lineRule="exact"/>
        <w:ind w:firstLine="640"/>
        <w:jc w:val="both"/>
        <w:outlineLvl w:val="3"/>
      </w:pPr>
      <w:r>
        <w:rPr>
          <w:rFonts w:ascii="楷体_GB2312" w:hAnsi="楷体_GB2312" w:eastAsia="楷体_GB2312"/>
          <w:b/>
          <w:sz w:val="32"/>
        </w:rPr>
        <w:t>（一）机关运行经费及公用经费支出情况</w:t>
      </w:r>
    </w:p>
    <w:p w14:paraId="4CEBFBE2">
      <w:pPr>
        <w:spacing w:line="580" w:lineRule="exact"/>
        <w:ind w:firstLine="640"/>
        <w:jc w:val="both"/>
      </w:pPr>
      <w:r>
        <w:rPr>
          <w:rFonts w:ascii="仿宋_GB2312" w:hAnsi="仿宋_GB2312" w:eastAsia="仿宋_GB2312"/>
          <w:b w:val="0"/>
          <w:sz w:val="32"/>
        </w:rPr>
        <w:t>2025年度喀什大学附属中学（事业单位）公用经费支出149.86万元，比上年减少83.88万元，下降35.89%，主要原因是：我校小学教育、初中教育阶段暂停招生，学生人数减少，按照生均经费测算下达的印刷费、手续费、邮电费等公用经费支出减少。</w:t>
      </w:r>
    </w:p>
    <w:p w14:paraId="23028E62">
      <w:pPr>
        <w:spacing w:line="640" w:lineRule="exact"/>
        <w:ind w:firstLine="640"/>
        <w:jc w:val="both"/>
        <w:outlineLvl w:val="3"/>
      </w:pPr>
      <w:r>
        <w:rPr>
          <w:rFonts w:ascii="楷体_GB2312" w:hAnsi="楷体_GB2312" w:eastAsia="楷体_GB2312"/>
          <w:b/>
          <w:sz w:val="32"/>
        </w:rPr>
        <w:t>（二）政府采购情况</w:t>
      </w:r>
    </w:p>
    <w:p w14:paraId="52BC1934">
      <w:pPr>
        <w:spacing w:line="580" w:lineRule="exact"/>
        <w:ind w:firstLine="640"/>
        <w:jc w:val="both"/>
      </w:pPr>
      <w:r>
        <w:rPr>
          <w:rFonts w:ascii="仿宋_GB2312" w:hAnsi="仿宋_GB2312" w:eastAsia="仿宋_GB2312"/>
          <w:b w:val="0"/>
          <w:sz w:val="32"/>
        </w:rPr>
        <w:t>2025年度政府采购支出总额184.15万元，其中：政府采购货物支出104.14万元、政府采购工程支出80.01万元、政府采购服务支出0.00万元。</w:t>
      </w:r>
    </w:p>
    <w:p w14:paraId="57310B8E">
      <w:pPr>
        <w:spacing w:line="580" w:lineRule="exact"/>
        <w:ind w:firstLine="640"/>
        <w:jc w:val="both"/>
      </w:pPr>
      <w:r>
        <w:rPr>
          <w:rFonts w:ascii="仿宋_GB2312" w:hAnsi="仿宋_GB2312" w:eastAsia="仿宋_GB2312"/>
          <w:b w:val="0"/>
          <w:sz w:val="32"/>
        </w:rPr>
        <w:t>授予中小企业合同金额160.18万元，占政府采购支出总额的86.98%，其中：授予小微企业合同金额159.79万元，占政府采购支出总额的86.77%。</w:t>
      </w:r>
    </w:p>
    <w:p w14:paraId="650A614C">
      <w:pPr>
        <w:spacing w:line="640" w:lineRule="exact"/>
        <w:ind w:firstLine="640"/>
        <w:jc w:val="both"/>
        <w:outlineLvl w:val="3"/>
      </w:pPr>
      <w:r>
        <w:rPr>
          <w:rFonts w:ascii="楷体_GB2312" w:hAnsi="楷体_GB2312" w:eastAsia="楷体_GB2312"/>
          <w:b/>
          <w:sz w:val="32"/>
        </w:rPr>
        <w:t>（三）国有资产占用情况说明</w:t>
      </w:r>
    </w:p>
    <w:p w14:paraId="02FB2D12">
      <w:pPr>
        <w:spacing w:line="580" w:lineRule="exact"/>
        <w:ind w:firstLine="640"/>
        <w:jc w:val="both"/>
      </w:pPr>
      <w:r>
        <w:rPr>
          <w:rFonts w:ascii="仿宋_GB2312" w:hAnsi="仿宋_GB2312" w:eastAsia="仿宋_GB2312"/>
          <w:b w:val="0"/>
          <w:sz w:val="32"/>
        </w:rPr>
        <w:t>截至2025年12月31日，房屋4,823.16平方米，价值717.99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6355B1B">
      <w:pPr>
        <w:spacing w:line="640" w:lineRule="exact"/>
        <w:ind w:firstLine="640"/>
        <w:jc w:val="both"/>
        <w:outlineLvl w:val="2"/>
      </w:pPr>
      <w:r>
        <w:rPr>
          <w:rFonts w:ascii="黑体" w:hAnsi="黑体" w:eastAsia="黑体"/>
          <w:sz w:val="32"/>
        </w:rPr>
        <w:t>十一、预算绩效的情况说明</w:t>
      </w:r>
    </w:p>
    <w:p w14:paraId="57DCF28B">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我单位无预算绩效评价项目。发现的问题及原因：我单位无预算绩效评价项目。下一步改进措施：我单位无预算绩效评价项目。</w:t>
      </w:r>
    </w:p>
    <w:p w14:paraId="4EDC00E8">
      <w:r>
        <w:br w:type="page"/>
      </w:r>
    </w:p>
    <w:p w14:paraId="2F0E9643">
      <w:pPr>
        <w:spacing w:line="640" w:lineRule="exact"/>
        <w:ind w:firstLine="640"/>
        <w:jc w:val="both"/>
        <w:outlineLvl w:val="2"/>
      </w:pPr>
      <w:r>
        <w:rPr>
          <w:rFonts w:ascii="黑体" w:hAnsi="黑体" w:eastAsia="黑体"/>
          <w:sz w:val="32"/>
        </w:rPr>
        <w:t>十二、其他需说明的事项</w:t>
      </w:r>
    </w:p>
    <w:p w14:paraId="1FB212D1">
      <w:pPr>
        <w:spacing w:line="580" w:lineRule="exact"/>
        <w:ind w:firstLine="640"/>
        <w:jc w:val="both"/>
      </w:pPr>
      <w:r>
        <w:rPr>
          <w:rFonts w:ascii="仿宋_GB2312" w:hAnsi="仿宋_GB2312" w:eastAsia="仿宋_GB2312"/>
          <w:b w:val="0"/>
          <w:sz w:val="32"/>
        </w:rPr>
        <w:t>本单位无其他需说明的事项。</w:t>
      </w:r>
    </w:p>
    <w:p w14:paraId="03B7BB51">
      <w:r>
        <w:br w:type="page"/>
      </w:r>
    </w:p>
    <w:p w14:paraId="7537DB3F">
      <w:pPr>
        <w:spacing w:line="600" w:lineRule="exact"/>
        <w:jc w:val="center"/>
        <w:outlineLvl w:val="0"/>
      </w:pPr>
      <w:r>
        <w:rPr>
          <w:rFonts w:ascii="黑体" w:hAnsi="黑体" w:eastAsia="黑体"/>
          <w:sz w:val="32"/>
        </w:rPr>
        <w:t>第三部分 专业名词解释</w:t>
      </w:r>
    </w:p>
    <w:p w14:paraId="6C0B5F87">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07E28D21">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F018AB">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885DE67">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D8A8135">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159D2EBC">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331BF976">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1547988E">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75CF3047">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8B55F6E">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BF44133">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759CF81">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080EE9A">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40A4120A">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29F9F036">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D962316">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64FE0AE">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54DF1FA">
      <w:r>
        <w:br w:type="page"/>
      </w:r>
    </w:p>
    <w:p w14:paraId="073484E5">
      <w:pPr>
        <w:spacing w:line="240" w:lineRule="auto"/>
        <w:jc w:val="center"/>
        <w:outlineLvl w:val="1"/>
      </w:pPr>
      <w:r>
        <w:rPr>
          <w:rFonts w:ascii="黑体" w:hAnsi="黑体" w:eastAsia="黑体"/>
          <w:sz w:val="32"/>
        </w:rPr>
        <w:t>第四部分 部门决算报表（见附表）</w:t>
      </w:r>
    </w:p>
    <w:p w14:paraId="0E10B359">
      <w:pPr>
        <w:autoSpaceDE w:val="0"/>
        <w:autoSpaceDN w:val="0"/>
        <w:spacing w:line="600" w:lineRule="exact"/>
        <w:ind w:firstLine="640" w:firstLineChars="200"/>
      </w:pPr>
      <w:r>
        <w:rPr>
          <w:rFonts w:ascii="仿宋_GB2312" w:hAnsi="仿宋_GB2312" w:eastAsia="仿宋_GB2312"/>
          <w:b w:val="0"/>
          <w:sz w:val="32"/>
        </w:rPr>
        <w:t>一、《收入支出决算总表》</w:t>
      </w:r>
    </w:p>
    <w:p w14:paraId="652FAF3E">
      <w:pPr>
        <w:autoSpaceDE w:val="0"/>
        <w:autoSpaceDN w:val="0"/>
        <w:spacing w:line="600" w:lineRule="exact"/>
        <w:ind w:firstLine="640" w:firstLineChars="200"/>
      </w:pPr>
      <w:r>
        <w:rPr>
          <w:rFonts w:ascii="仿宋_GB2312" w:hAnsi="仿宋_GB2312" w:eastAsia="仿宋_GB2312"/>
          <w:b w:val="0"/>
          <w:sz w:val="32"/>
        </w:rPr>
        <w:t>二、《收入决算表》</w:t>
      </w:r>
    </w:p>
    <w:p w14:paraId="13170645">
      <w:pPr>
        <w:autoSpaceDE w:val="0"/>
        <w:autoSpaceDN w:val="0"/>
        <w:spacing w:line="600" w:lineRule="exact"/>
        <w:ind w:firstLine="640" w:firstLineChars="200"/>
      </w:pPr>
      <w:r>
        <w:rPr>
          <w:rFonts w:ascii="仿宋_GB2312" w:hAnsi="仿宋_GB2312" w:eastAsia="仿宋_GB2312"/>
          <w:b w:val="0"/>
          <w:sz w:val="32"/>
        </w:rPr>
        <w:t>三、《支出决算表》</w:t>
      </w:r>
    </w:p>
    <w:p w14:paraId="185A240D">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E4971EF">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FE5A02D">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198356E3">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1A9E58CF">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4E351F2">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29EFFB0F">
      <w:pPr>
        <w:autoSpaceDE w:val="0"/>
        <w:autoSpaceDN w:val="0"/>
        <w:spacing w:line="600" w:lineRule="exact"/>
        <w:ind w:firstLine="640" w:firstLineChars="200"/>
      </w:pPr>
    </w:p>
    <w:p w14:paraId="41A61B00">
      <w:pPr>
        <w:autoSpaceDE w:val="0"/>
        <w:autoSpaceDN w:val="0"/>
        <w:spacing w:line="600" w:lineRule="exact"/>
        <w:ind w:firstLine="640" w:firstLineChars="200"/>
      </w:pPr>
    </w:p>
    <w:p w14:paraId="221B3074">
      <w:pPr>
        <w:autoSpaceDE w:val="0"/>
        <w:autoSpaceDN w:val="0"/>
        <w:spacing w:line="600" w:lineRule="exact"/>
        <w:ind w:firstLine="640" w:firstLineChars="200"/>
      </w:pPr>
    </w:p>
    <w:p w14:paraId="675064BD">
      <w:pPr>
        <w:autoSpaceDE w:val="0"/>
        <w:autoSpaceDN w:val="0"/>
        <w:spacing w:line="600" w:lineRule="exact"/>
        <w:ind w:firstLine="640" w:firstLineChars="200"/>
      </w:pPr>
    </w:p>
    <w:p w14:paraId="476C01B1">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D99CCE-3898-446F-8743-916B3BF0CBF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D242EA7-6277-4437-A6A5-C3D329BCC4B8}"/>
  </w:font>
  <w:font w:name="仿宋_GB2312">
    <w:panose1 w:val="02010609030101010101"/>
    <w:charset w:val="86"/>
    <w:family w:val="modern"/>
    <w:pitch w:val="default"/>
    <w:sig w:usb0="00000001" w:usb1="080E0000" w:usb2="00000000" w:usb3="00000000" w:csb0="00040000" w:csb1="00000000"/>
    <w:embedRegular r:id="rId3" w:fontKey="{5EAF2694-BE8D-41B8-ACD2-4255FC44E045}"/>
  </w:font>
  <w:font w:name="楷体_GB2312">
    <w:altName w:val="楷体"/>
    <w:panose1 w:val="00000000000000000000"/>
    <w:charset w:val="00"/>
    <w:family w:val="auto"/>
    <w:pitch w:val="default"/>
    <w:sig w:usb0="00000000" w:usb1="00000000" w:usb2="00000000" w:usb3="00000000" w:csb0="00000000" w:csb1="00000000"/>
    <w:embedRegular r:id="rId4" w:fontKey="{181B495E-ED44-456A-80CF-457A5226746C}"/>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8BE7B6E"/>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b0ed2f03-c276-4d7c-887e-119aedc5225e}">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5454</Words>
  <Characters>6110</Characters>
  <Lines>10</Lines>
  <Paragraphs>2</Paragraphs>
  <TotalTime>7</TotalTime>
  <ScaleCrop>false</ScaleCrop>
  <LinksUpToDate>false</LinksUpToDate>
  <CharactersWithSpaces>6120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2026-09-02T11:29:20Z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