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新疆农业大学（本级）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ACB9D71">
      <w:r>
        <w:br w:type="page"/>
      </w:r>
    </w:p>
    <w:p w14:paraId="1ECD1984">
      <w:pPr>
        <w:spacing w:line="640" w:lineRule="exact"/>
        <w:jc w:val="center"/>
        <w:outlineLvl w:val="1"/>
      </w:pPr>
      <w:r>
        <w:rPr>
          <w:rFonts w:ascii="黑体" w:hAnsi="黑体" w:eastAsia="黑体"/>
          <w:sz w:val="32"/>
        </w:rPr>
        <w:t>第一部分 单位概况</w:t>
      </w:r>
    </w:p>
    <w:p w14:paraId="50CB59AE">
      <w:pPr>
        <w:spacing w:line="640" w:lineRule="exact"/>
        <w:ind w:firstLine="640"/>
        <w:jc w:val="both"/>
        <w:outlineLvl w:val="2"/>
      </w:pPr>
      <w:r>
        <w:rPr>
          <w:rFonts w:ascii="黑体" w:hAnsi="黑体" w:eastAsia="黑体"/>
          <w:sz w:val="32"/>
        </w:rPr>
        <w:t>一、主要职能</w:t>
      </w:r>
    </w:p>
    <w:p w14:paraId="3F31DBCB">
      <w:pPr>
        <w:spacing w:line="580" w:lineRule="exact"/>
        <w:ind w:firstLine="640"/>
        <w:jc w:val="both"/>
      </w:pPr>
      <w:r>
        <w:rPr>
          <w:rFonts w:ascii="仿宋_GB2312" w:hAnsi="仿宋_GB2312" w:eastAsia="仿宋_GB2312"/>
          <w:sz w:val="32"/>
        </w:rPr>
        <w:t>新疆农业大学是自治区人民政府、教育部、农业农村部、国家林业和草原局共建的一所以农业科学为优势和特色的大学。前身为八一农学院，是经毛主席和中央军委同意，由王震将军于1952年在中国人民解放军第二步兵学校基础上创建，是新中国成立后中国共产党在新疆创办的第一所新型正规大学。1958年划归新疆维吾尔自治区人民政府，更名为新疆八一农学院。1995年经原国家教委批准，更名为新疆农业大学。现有老满城、亚心、陆港、天格尔、塔城等五个校区。</w:t>
      </w:r>
    </w:p>
    <w:p w14:paraId="2B871CD6">
      <w:pPr>
        <w:spacing w:line="580" w:lineRule="exact"/>
        <w:ind w:firstLine="640"/>
        <w:jc w:val="both"/>
      </w:pPr>
      <w:r>
        <w:rPr>
          <w:rFonts w:ascii="仿宋_GB2312" w:hAnsi="仿宋_GB2312" w:eastAsia="仿宋_GB2312"/>
          <w:sz w:val="32"/>
        </w:rPr>
        <w:t>学校是全国文明校园、全国乡村振兴人才培养优质校、全国节约型机构示范单位，首批自治区绿色大学、自治区党建示范高校。学校现有24个学院，1个教学部，7个博士后科研流动站，8个一级学科博士学位授权点，1个专业学位博士授权点，19个一级学科硕士学位授权点，14个专业学位硕士授权点，74个本科专业，分布在农、理、工、经、管、文、法等7个学科门类中。围绕水利水电、棉花、粮食、健康养殖、特色林果、农机智能制造、生态环境保护等领域建有国家级重点学科1个，国家重点（培育）学科1个，国家林业和草原局重点学科3个，国家林业和草原局重点培育学科2个，自治区“十四五”高等学校院士支持计划依托学科1个，自治区“十四五”优势学科1个，自治区“十四五”特色学科5个。植物与动物科学、农业科学、环境科学与生态学等3个学科进入ESI全球排名前1%。拥有丝路水实验室、棉花教育部工程研究中心、丝绸之路经济带作物生物育种国际合作联合实验室等省部级研究中心、重点实验室50个。锚定党中央赋予新疆的“五大战略定位”，建有草种创新与草地农业生态系统全国重点实验室新疆分中心等高水平科研创新平台。新疆枣产业研究院挂靠我校。</w:t>
      </w:r>
    </w:p>
    <w:p w14:paraId="65B17F8D">
      <w:pPr>
        <w:spacing w:line="580" w:lineRule="exact"/>
        <w:ind w:firstLine="640"/>
        <w:jc w:val="both"/>
      </w:pPr>
      <w:r>
        <w:rPr>
          <w:rFonts w:ascii="仿宋_GB2312" w:hAnsi="仿宋_GB2312" w:eastAsia="仿宋_GB2312"/>
          <w:sz w:val="32"/>
        </w:rPr>
        <w:t>“十四五”以来，学校立项各类科研项目2550项，主持新疆优势特色产业提质增效技术集成与示范等国家重大、重点科技计划项目（课题）8项，主持省部级重大、重点项目34项，主持省部级重大、重点课题132项。近两年到位科研经费连续突破3亿元。累计获得省部级以上科技成果奖励56项，其中一等奖21项。获得自治区哲学社会科学奖16项。审定新品种22个，授权专利646项（发明专利206项），软件著作权800项，认定地方标准34项。开创了将新疆特色牧草种子搭载“嫦娥六号”探测器在月球背面育种的先例，揭示出玉米花粉耐热性的分子机制及核膜蛋白复合物在其中的关键作用，开发出毛绒一体化检测技术、仿生“太阳花”状植物可穿戴传感器等一系列原创性研究成果。育成德新肉用细毛羊、青格里绒山羊、“雪香”梨、新甜玉18号玉米、新农大棉1号、新牧4号紫花苜蓿、新苏3号苏丹草等新品种，并实现了成果转化。1个品种入选农业农村部2025年农业主导品种，2个品种入选2026年自治区粮棉畜果主导品种。发现窄螯虾、梭塔吉克盾蚧等5个中国新纪录种，为区域生物多样性保护与利用提供关键支撑。</w:t>
      </w:r>
    </w:p>
    <w:p w14:paraId="0D942E9B">
      <w:pPr>
        <w:spacing w:line="580" w:lineRule="exact"/>
        <w:ind w:firstLine="640"/>
        <w:jc w:val="both"/>
      </w:pPr>
      <w:r>
        <w:rPr>
          <w:rFonts w:ascii="仿宋_GB2312" w:hAnsi="仿宋_GB2312" w:eastAsia="仿宋_GB2312"/>
          <w:sz w:val="32"/>
        </w:rPr>
        <w:t>学校牵头组建“新疆新农科教育联盟”，成立“新疆乡村振兴研究院”。获批建设64个科技小院，校级培育52个，覆盖全区农林牧渔产业和产区。与地方政府、行业龙头企业共建了现代葡萄酒产业学院、现代马产业学院、棉花产业学院、智慧农业现代产业学院，着力培养知农爱农新型人才。1人受聘国家绒毛用羊体系首席科学家，48人受聘自治区17个产业体系首席、副首席科学家、岗位专家、综合试验站长。探索出“1+4+N”科技服务模式，推进实用农业技术和科技成果快速转化。学校3个项目入选教育部省属高校精准帮扶典型项目，2次获自治区脱贫攻坚“组织创新奖”，1名教师获“全国乡村振兴青年先锋”，3名教师获自治区脱贫攻坚奖和乡村振兴先进个人，1个单位获自治区乡村振兴先进集体。</w:t>
      </w:r>
    </w:p>
    <w:p w14:paraId="49F59F9E">
      <w:pPr>
        <w:spacing w:line="580" w:lineRule="exact"/>
        <w:ind w:firstLine="640"/>
        <w:jc w:val="both"/>
      </w:pPr>
      <w:r>
        <w:rPr>
          <w:rFonts w:ascii="仿宋_GB2312" w:hAnsi="仿宋_GB2312" w:eastAsia="仿宋_GB2312"/>
          <w:sz w:val="32"/>
        </w:rPr>
        <w:t>学校坚持扩大教育开放，扎实推进“一带一路”教育行动。先后与美国、俄罗斯、哈萨克斯坦等20多个国家（地区）的80余所大学及研究机构建立合作关系。承担联合国粮农组织项目1项，与俄罗斯高校举办2个本科中外合作办学项目，引进5个中英合作本科国际教育专业。在巴基斯坦共建费萨拉巴德农业大学孔子学院并获示范孔子学院称号。与哈萨克斯坦、乌兹别克斯坦高校共建6个教育与科学研究中心及联合实验室。建有教育部国别与区域研究备案中心—新疆农业大学中亚研究中心。先后加入“丝绸之路农业教育科技创新联盟”“中国—中东欧国家现代农业科教创新联盟”“上海合作组织大学中方院校”“全球农业孔子学院联盟”和“来华留学生志愿服务联盟”等国际涉农科教联盟，有力推动了丝绸之路经济带沿线国家高等农业教育的共同发展。</w:t>
      </w:r>
    </w:p>
    <w:p w14:paraId="7EB7DE27">
      <w:pPr>
        <w:spacing w:line="640" w:lineRule="exact"/>
        <w:ind w:firstLine="640"/>
        <w:jc w:val="both"/>
        <w:outlineLvl w:val="2"/>
      </w:pPr>
      <w:r>
        <w:rPr>
          <w:rFonts w:ascii="黑体" w:hAnsi="黑体" w:eastAsia="黑体"/>
          <w:sz w:val="32"/>
        </w:rPr>
        <w:t>二、机构设置</w:t>
      </w:r>
    </w:p>
    <w:p w14:paraId="3C4C9759">
      <w:pPr>
        <w:spacing w:line="580" w:lineRule="exact"/>
        <w:ind w:firstLine="640"/>
        <w:jc w:val="both"/>
      </w:pPr>
      <w:r>
        <w:rPr>
          <w:rFonts w:ascii="仿宋_GB2312" w:hAnsi="仿宋_GB2312" w:eastAsia="仿宋_GB2312"/>
          <w:sz w:val="32"/>
        </w:rPr>
        <w:t>新疆农业大学（本级）无下属预算单位。</w:t>
      </w:r>
    </w:p>
    <w:p w14:paraId="2A6869C6">
      <w:r>
        <w:br w:type="page"/>
      </w:r>
    </w:p>
    <w:p w14:paraId="63625617">
      <w:pPr>
        <w:spacing w:line="240" w:lineRule="auto"/>
        <w:jc w:val="center"/>
        <w:outlineLvl w:val="1"/>
      </w:pPr>
      <w:r>
        <w:rPr>
          <w:rFonts w:ascii="黑体" w:hAnsi="黑体" w:eastAsia="黑体"/>
          <w:sz w:val="32"/>
        </w:rPr>
        <w:t>第二部分 部门决算情况说明</w:t>
      </w:r>
    </w:p>
    <w:p w14:paraId="4870623A">
      <w:pPr>
        <w:spacing w:line="640" w:lineRule="exact"/>
        <w:ind w:firstLine="640"/>
        <w:jc w:val="both"/>
        <w:outlineLvl w:val="2"/>
      </w:pPr>
      <w:r>
        <w:rPr>
          <w:rFonts w:ascii="黑体" w:hAnsi="黑体" w:eastAsia="黑体"/>
          <w:sz w:val="32"/>
        </w:rPr>
        <w:t>一、收入支出决算总体情况说明</w:t>
      </w:r>
    </w:p>
    <w:p w14:paraId="185F09A6">
      <w:pPr>
        <w:spacing w:line="580" w:lineRule="exact"/>
        <w:ind w:firstLine="640"/>
        <w:jc w:val="both"/>
      </w:pPr>
      <w:r>
        <w:rPr>
          <w:rFonts w:ascii="仿宋_GB2312" w:hAnsi="仿宋_GB2312" w:eastAsia="仿宋_GB2312"/>
          <w:b/>
          <w:sz w:val="32"/>
        </w:rPr>
        <w:t>2025年度收入总计203,963.79万元，</w:t>
      </w:r>
      <w:r>
        <w:rPr>
          <w:rFonts w:ascii="仿宋_GB2312" w:hAnsi="仿宋_GB2312" w:eastAsia="仿宋_GB2312"/>
          <w:b w:val="0"/>
          <w:sz w:val="32"/>
        </w:rPr>
        <w:t>其中：本年收入合计149,254.90万元，使用非财政拨款结余（含专用结余）242.45万元，年初结转和结余54,466.44万元。</w:t>
      </w:r>
    </w:p>
    <w:p w14:paraId="7C2552B7">
      <w:pPr>
        <w:spacing w:line="580" w:lineRule="exact"/>
        <w:ind w:firstLine="640"/>
        <w:jc w:val="both"/>
      </w:pPr>
      <w:r>
        <w:rPr>
          <w:rFonts w:ascii="仿宋_GB2312" w:hAnsi="仿宋_GB2312" w:eastAsia="仿宋_GB2312"/>
          <w:b/>
          <w:sz w:val="32"/>
        </w:rPr>
        <w:t>2025年度支出总计203,963.79万元，</w:t>
      </w:r>
      <w:r>
        <w:rPr>
          <w:rFonts w:ascii="仿宋_GB2312" w:hAnsi="仿宋_GB2312" w:eastAsia="仿宋_GB2312"/>
          <w:b w:val="0"/>
          <w:sz w:val="32"/>
        </w:rPr>
        <w:t>其中：本年支出合计149,995.75万元，结余分配0.00万元，年末结转和结余53,968.04万元。</w:t>
      </w:r>
    </w:p>
    <w:p w14:paraId="5ABC952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6,857.59万元，增长3.48%，主要原因是：本年学生人数增加，生均拨款增加；本年在职人员增加，人员工资调增；本年增加新疆农业大学标本馆等项目经费预算（标本馆建设项目）、新疆人才发展基金2025年度第一轮支持资金等项目支出。</w:t>
      </w:r>
    </w:p>
    <w:p w14:paraId="252DB610">
      <w:pPr>
        <w:spacing w:line="640" w:lineRule="exact"/>
        <w:ind w:firstLine="640"/>
        <w:jc w:val="both"/>
        <w:outlineLvl w:val="2"/>
      </w:pPr>
      <w:r>
        <w:rPr>
          <w:rFonts w:ascii="黑体" w:hAnsi="黑体" w:eastAsia="黑体"/>
          <w:sz w:val="32"/>
        </w:rPr>
        <w:t>二、收入决算情况说明</w:t>
      </w:r>
    </w:p>
    <w:p w14:paraId="203910DA">
      <w:pPr>
        <w:spacing w:line="580" w:lineRule="exact"/>
        <w:ind w:firstLine="640"/>
        <w:jc w:val="both"/>
      </w:pPr>
      <w:r>
        <w:rPr>
          <w:rFonts w:ascii="仿宋_GB2312" w:hAnsi="仿宋_GB2312" w:eastAsia="仿宋_GB2312"/>
          <w:b/>
          <w:sz w:val="32"/>
        </w:rPr>
        <w:t>本年收入149,254.90万元，</w:t>
      </w:r>
      <w:r>
        <w:rPr>
          <w:rFonts w:ascii="仿宋_GB2312" w:hAnsi="仿宋_GB2312" w:eastAsia="仿宋_GB2312"/>
          <w:b w:val="0"/>
          <w:sz w:val="32"/>
        </w:rPr>
        <w:t>其中：财政拨款收入87,313.92万元，占58.50%；上级补助收入0.00万元，占0.00%；事业收入40,065.76万元，占26.84%；经营收入0.00万元，占0.00%；附属单位上缴收入0.00万元，占0.00%；其他收入21,875.23万元，占14.66%。</w:t>
      </w:r>
    </w:p>
    <w:p w14:paraId="10146B3E">
      <w:pPr>
        <w:spacing w:line="640" w:lineRule="exact"/>
        <w:ind w:firstLine="640"/>
        <w:jc w:val="both"/>
        <w:outlineLvl w:val="2"/>
      </w:pPr>
      <w:r>
        <w:rPr>
          <w:rFonts w:ascii="黑体" w:hAnsi="黑体" w:eastAsia="黑体"/>
          <w:sz w:val="32"/>
        </w:rPr>
        <w:t>三、支出决算情况说明</w:t>
      </w:r>
    </w:p>
    <w:p w14:paraId="2075D6BC">
      <w:pPr>
        <w:spacing w:line="580" w:lineRule="exact"/>
        <w:ind w:firstLine="640"/>
        <w:jc w:val="both"/>
      </w:pPr>
      <w:r>
        <w:rPr>
          <w:rFonts w:ascii="仿宋_GB2312" w:hAnsi="仿宋_GB2312" w:eastAsia="仿宋_GB2312"/>
          <w:b/>
          <w:sz w:val="32"/>
        </w:rPr>
        <w:t>本年支出149,995.75万元，</w:t>
      </w:r>
      <w:r>
        <w:rPr>
          <w:rFonts w:ascii="仿宋_GB2312" w:hAnsi="仿宋_GB2312" w:eastAsia="仿宋_GB2312"/>
          <w:b w:val="0"/>
          <w:sz w:val="32"/>
        </w:rPr>
        <w:t>其中：基本支出63,913.97万元，占42.61%；项目支出86,081.77万元，占57.39%；上缴上级支出0.00万元，占0.00%；经营支出0.00万元，占0.00%；对附属单位补助支出0.00万元，占0.00%。</w:t>
      </w:r>
    </w:p>
    <w:p w14:paraId="06CDA66B">
      <w:pPr>
        <w:spacing w:line="640" w:lineRule="exact"/>
        <w:ind w:firstLine="640"/>
        <w:jc w:val="both"/>
        <w:outlineLvl w:val="2"/>
      </w:pPr>
      <w:r>
        <w:rPr>
          <w:rFonts w:ascii="黑体" w:hAnsi="黑体" w:eastAsia="黑体"/>
          <w:sz w:val="32"/>
        </w:rPr>
        <w:t>四、财政拨款收入支出决算总体情况说明</w:t>
      </w:r>
    </w:p>
    <w:p w14:paraId="0A016BD6">
      <w:pPr>
        <w:spacing w:line="580" w:lineRule="exact"/>
        <w:ind w:firstLine="640"/>
        <w:jc w:val="both"/>
      </w:pPr>
      <w:r>
        <w:rPr>
          <w:rFonts w:ascii="仿宋_GB2312" w:hAnsi="仿宋_GB2312" w:eastAsia="仿宋_GB2312"/>
          <w:b/>
          <w:sz w:val="32"/>
        </w:rPr>
        <w:t>2025年度财政拨款收入总计88,692.87万元，</w:t>
      </w:r>
      <w:r>
        <w:rPr>
          <w:rFonts w:ascii="仿宋_GB2312" w:hAnsi="仿宋_GB2312" w:eastAsia="仿宋_GB2312"/>
          <w:b w:val="0"/>
          <w:sz w:val="32"/>
        </w:rPr>
        <w:t>其中：年初财政拨款结转和结余1,378.96万元，本年财政拨款收入87,313.92万元。</w:t>
      </w:r>
      <w:r>
        <w:rPr>
          <w:rFonts w:ascii="仿宋_GB2312" w:hAnsi="仿宋_GB2312" w:eastAsia="仿宋_GB2312"/>
          <w:b/>
          <w:sz w:val="32"/>
        </w:rPr>
        <w:t>财政拨款支出总计88,692.87万元，</w:t>
      </w:r>
      <w:r>
        <w:rPr>
          <w:rFonts w:ascii="仿宋_GB2312" w:hAnsi="仿宋_GB2312" w:eastAsia="仿宋_GB2312"/>
          <w:b w:val="0"/>
          <w:sz w:val="32"/>
        </w:rPr>
        <w:t>其中：年末财政拨款结转和结余1,600.00万元，本年财政拨款支出87,092.87万元。</w:t>
      </w:r>
    </w:p>
    <w:p w14:paraId="6205332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7,034.06万元，增长8.61%，主要原因是：本年学生人数增加，生均拨款增加；本年在职人员增加，人员工资调增；本年增加新疆农业大学标本馆等项目经费预算（标本馆建设项目）、新疆人才发展基金2025年度第一轮支持资金等项目支出。</w:t>
      </w:r>
      <w:r>
        <w:rPr>
          <w:rFonts w:ascii="仿宋_GB2312" w:hAnsi="仿宋_GB2312" w:eastAsia="仿宋_GB2312"/>
          <w:b/>
          <w:sz w:val="32"/>
        </w:rPr>
        <w:t>与年初预算相比，</w:t>
      </w:r>
      <w:r>
        <w:rPr>
          <w:rFonts w:ascii="仿宋_GB2312" w:hAnsi="仿宋_GB2312" w:eastAsia="仿宋_GB2312"/>
          <w:b w:val="0"/>
          <w:sz w:val="32"/>
        </w:rPr>
        <w:t>年初预算数71,987.98万元，决算数88,692.87万元，预决算差异率23.21%，主要原因是：年中追加新疆农业大学标本馆等项目经费预算（标本馆建设项目）、新疆人才发展基金2025年度第一轮支持资金等项目，导致预决算存在差异。</w:t>
      </w:r>
    </w:p>
    <w:p w14:paraId="53B1EA41">
      <w:pPr>
        <w:spacing w:line="640" w:lineRule="exact"/>
        <w:ind w:firstLine="640"/>
        <w:jc w:val="both"/>
        <w:outlineLvl w:val="2"/>
      </w:pPr>
      <w:r>
        <w:rPr>
          <w:rFonts w:ascii="黑体" w:hAnsi="黑体" w:eastAsia="黑体"/>
          <w:sz w:val="32"/>
        </w:rPr>
        <w:t>五、一般公共预算财政拨款支出决算情况说明</w:t>
      </w:r>
    </w:p>
    <w:p w14:paraId="74AD6063">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教育事业发展</w:t>
      </w:r>
      <w:bookmarkStart w:id="0" w:name="_GoBack"/>
      <w:bookmarkEnd w:id="0"/>
      <w:r>
        <w:rPr>
          <w:rFonts w:ascii="仿宋_GB2312" w:hAnsi="仿宋_GB2312" w:eastAsia="仿宋_GB2312"/>
          <w:b w:val="0"/>
          <w:sz w:val="32"/>
        </w:rPr>
        <w:t>等重点支出，体现在有关支出科目中。</w:t>
      </w:r>
    </w:p>
    <w:p w14:paraId="42CD9D6C">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75,720.81万元，占比86.94%，主要用于在编人员及离退休人员日常工资发放、教学日常运转经费。</w:t>
      </w:r>
    </w:p>
    <w:p w14:paraId="107E784F">
      <w:pPr>
        <w:spacing w:line="640" w:lineRule="exact"/>
        <w:ind w:firstLine="640"/>
        <w:jc w:val="both"/>
        <w:outlineLvl w:val="3"/>
      </w:pPr>
      <w:r>
        <w:rPr>
          <w:rFonts w:ascii="楷体_GB2312" w:hAnsi="楷体_GB2312" w:eastAsia="楷体_GB2312"/>
          <w:b/>
          <w:sz w:val="32"/>
        </w:rPr>
        <w:t>（一）一般公共预算财政拨款支出决算总体情况</w:t>
      </w:r>
    </w:p>
    <w:p w14:paraId="03B1778D">
      <w:pPr>
        <w:spacing w:line="580" w:lineRule="exact"/>
        <w:ind w:firstLine="640"/>
        <w:jc w:val="both"/>
      </w:pPr>
      <w:r>
        <w:rPr>
          <w:rFonts w:ascii="仿宋_GB2312" w:hAnsi="仿宋_GB2312" w:eastAsia="仿宋_GB2312"/>
          <w:b/>
          <w:sz w:val="32"/>
        </w:rPr>
        <w:t>2025年度一般公共预算财政拨款支出86,953.97万元，</w:t>
      </w:r>
      <w:r>
        <w:rPr>
          <w:rFonts w:ascii="仿宋_GB2312" w:hAnsi="仿宋_GB2312" w:eastAsia="仿宋_GB2312"/>
          <w:b w:val="0"/>
          <w:sz w:val="32"/>
        </w:rPr>
        <w:t>占本年支出合计的57.97%。</w:t>
      </w:r>
      <w:r>
        <w:rPr>
          <w:rFonts w:ascii="仿宋_GB2312" w:hAnsi="仿宋_GB2312" w:eastAsia="仿宋_GB2312"/>
          <w:b/>
          <w:sz w:val="32"/>
        </w:rPr>
        <w:t>与上年相比，</w:t>
      </w:r>
      <w:r>
        <w:rPr>
          <w:rFonts w:ascii="仿宋_GB2312" w:hAnsi="仿宋_GB2312" w:eastAsia="仿宋_GB2312"/>
          <w:b w:val="0"/>
          <w:sz w:val="32"/>
        </w:rPr>
        <w:t>增加6,743.56万元，增长8.41%，主要原因是：本年学生人数增加，生均拨款增加；本年在职人员增加，人员工资调增；本年增加新疆农业大学标本馆等项目经费预算（标本馆建设项目）、新疆人才发展基金2025年度第一轮支持资金等项目支出。</w:t>
      </w:r>
      <w:r>
        <w:rPr>
          <w:rFonts w:ascii="仿宋_GB2312" w:hAnsi="仿宋_GB2312" w:eastAsia="仿宋_GB2312"/>
          <w:b/>
          <w:sz w:val="32"/>
        </w:rPr>
        <w:t>与年初预算相比，</w:t>
      </w:r>
      <w:r>
        <w:rPr>
          <w:rFonts w:ascii="仿宋_GB2312" w:hAnsi="仿宋_GB2312" w:eastAsia="仿宋_GB2312"/>
          <w:b w:val="0"/>
          <w:sz w:val="32"/>
        </w:rPr>
        <w:t>年初预算数71,849.08万元，决算数86,953.97万元，预决算差异率21.02%，主要原因是：年中追加新疆农业大学标本馆等项目经费预算（标本馆建设项目）、新疆人才发展基金2025年度第一轮支持资金等项目，导致预决算存在差异。</w:t>
      </w:r>
    </w:p>
    <w:p w14:paraId="59964F4D">
      <w:pPr>
        <w:spacing w:line="640" w:lineRule="exact"/>
        <w:ind w:firstLine="640"/>
        <w:jc w:val="both"/>
        <w:outlineLvl w:val="3"/>
      </w:pPr>
      <w:r>
        <w:rPr>
          <w:rFonts w:ascii="楷体_GB2312" w:hAnsi="楷体_GB2312" w:eastAsia="楷体_GB2312"/>
          <w:b/>
          <w:sz w:val="32"/>
        </w:rPr>
        <w:t>（二）一般公共预算财政拨款支出决算结构情况</w:t>
      </w:r>
    </w:p>
    <w:p w14:paraId="7AF8A85E">
      <w:pPr>
        <w:spacing w:line="580" w:lineRule="exact"/>
        <w:ind w:firstLine="640"/>
        <w:jc w:val="both"/>
      </w:pPr>
      <w:r>
        <w:rPr>
          <w:rFonts w:ascii="仿宋_GB2312" w:hAnsi="仿宋_GB2312" w:eastAsia="仿宋_GB2312"/>
          <w:b w:val="0"/>
          <w:sz w:val="32"/>
        </w:rPr>
        <w:t>1.教育支出（类）75,754.01万元，占87.12%。</w:t>
      </w:r>
    </w:p>
    <w:p w14:paraId="142F9155">
      <w:pPr>
        <w:spacing w:line="580" w:lineRule="exact"/>
        <w:ind w:firstLine="640"/>
        <w:jc w:val="both"/>
      </w:pPr>
      <w:r>
        <w:rPr>
          <w:rFonts w:ascii="仿宋_GB2312" w:hAnsi="仿宋_GB2312" w:eastAsia="仿宋_GB2312"/>
          <w:b w:val="0"/>
          <w:sz w:val="32"/>
        </w:rPr>
        <w:t>2.科学技术支出（类）5,216.01万元，占6.00%。</w:t>
      </w:r>
    </w:p>
    <w:p w14:paraId="0CB50031">
      <w:pPr>
        <w:spacing w:line="580" w:lineRule="exact"/>
        <w:ind w:firstLine="640"/>
        <w:jc w:val="both"/>
      </w:pPr>
      <w:r>
        <w:rPr>
          <w:rFonts w:ascii="仿宋_GB2312" w:hAnsi="仿宋_GB2312" w:eastAsia="仿宋_GB2312"/>
          <w:b w:val="0"/>
          <w:sz w:val="32"/>
        </w:rPr>
        <w:t>3.文化旅游体育与传媒支出（类）44.00万元，占0.05%。</w:t>
      </w:r>
    </w:p>
    <w:p w14:paraId="2BBDE0FD">
      <w:pPr>
        <w:spacing w:line="580" w:lineRule="exact"/>
        <w:ind w:firstLine="640"/>
        <w:jc w:val="both"/>
      </w:pPr>
      <w:r>
        <w:rPr>
          <w:rFonts w:ascii="仿宋_GB2312" w:hAnsi="仿宋_GB2312" w:eastAsia="仿宋_GB2312"/>
          <w:b w:val="0"/>
          <w:sz w:val="32"/>
        </w:rPr>
        <w:t>4.社会保障和就业支出（类）956.97万元，占1.10%。</w:t>
      </w:r>
    </w:p>
    <w:p w14:paraId="0186417D">
      <w:pPr>
        <w:spacing w:line="580" w:lineRule="exact"/>
        <w:ind w:firstLine="640"/>
        <w:jc w:val="both"/>
      </w:pPr>
      <w:r>
        <w:rPr>
          <w:rFonts w:ascii="仿宋_GB2312" w:hAnsi="仿宋_GB2312" w:eastAsia="仿宋_GB2312"/>
          <w:b w:val="0"/>
          <w:sz w:val="32"/>
        </w:rPr>
        <w:t>5.农林水支出（类）4,982.99万元，占5.73%。</w:t>
      </w:r>
    </w:p>
    <w:p w14:paraId="283985D2">
      <w:pPr>
        <w:spacing w:line="640" w:lineRule="exact"/>
        <w:ind w:firstLine="640"/>
        <w:jc w:val="both"/>
        <w:outlineLvl w:val="3"/>
      </w:pPr>
      <w:r>
        <w:rPr>
          <w:rFonts w:ascii="楷体_GB2312" w:hAnsi="楷体_GB2312" w:eastAsia="楷体_GB2312"/>
          <w:b/>
          <w:sz w:val="32"/>
        </w:rPr>
        <w:t>（三）一般公共预算财政拨款支出决算具体情况</w:t>
      </w:r>
    </w:p>
    <w:p w14:paraId="6E26689F">
      <w:pPr>
        <w:spacing w:line="580" w:lineRule="exact"/>
        <w:ind w:firstLine="640"/>
        <w:jc w:val="both"/>
      </w:pPr>
      <w:r>
        <w:rPr>
          <w:rFonts w:ascii="仿宋_GB2312" w:hAnsi="仿宋_GB2312" w:eastAsia="仿宋_GB2312"/>
          <w:b w:val="0"/>
          <w:sz w:val="32"/>
        </w:rPr>
        <w:t>1.教育支出（类）普通教育（款）高等教育（项）：支出决算数为75,720.81万元，比上年决算增加5,821.70万元，增长8.33%，主要原因是：本年学生人数增加，生均拨款增加；本年在职人员增加，人员工资调增；本年增加新疆农业大学标本馆等项目经费预算（标本馆建设项目），相应支出增加。</w:t>
      </w:r>
    </w:p>
    <w:p w14:paraId="6B7CAB1F">
      <w:pPr>
        <w:spacing w:line="580" w:lineRule="exact"/>
        <w:ind w:firstLine="640"/>
        <w:jc w:val="both"/>
      </w:pPr>
      <w:r>
        <w:rPr>
          <w:rFonts w:ascii="仿宋_GB2312" w:hAnsi="仿宋_GB2312" w:eastAsia="仿宋_GB2312"/>
          <w:b w:val="0"/>
          <w:sz w:val="32"/>
        </w:rPr>
        <w:t>2.教育支出（类）职业教育（款）高等职业教育（项）：支出决算数为0.00万元，比上年决算减少14.70万元，下降100.00%，主要原因是：2025年减少现代职业教育质量提升计划职业院校教师素质项目。</w:t>
      </w:r>
    </w:p>
    <w:p w14:paraId="435082A9">
      <w:pPr>
        <w:spacing w:line="580" w:lineRule="exact"/>
        <w:ind w:firstLine="640"/>
        <w:jc w:val="both"/>
      </w:pPr>
      <w:r>
        <w:rPr>
          <w:rFonts w:ascii="仿宋_GB2312" w:hAnsi="仿宋_GB2312" w:eastAsia="仿宋_GB2312"/>
          <w:b w:val="0"/>
          <w:sz w:val="32"/>
        </w:rPr>
        <w:t>3.教育支出（类）留学教育（款）来华留学教育（项）：支出决算数为33.20万元，比上年决算增加33.20万元，增长100.00%，主要原因是：2025年增加秋季学期留学生奖学金项目。</w:t>
      </w:r>
    </w:p>
    <w:p w14:paraId="78DB1231">
      <w:pPr>
        <w:spacing w:line="580" w:lineRule="exact"/>
        <w:ind w:firstLine="640"/>
        <w:jc w:val="both"/>
      </w:pPr>
      <w:r>
        <w:rPr>
          <w:rFonts w:ascii="仿宋_GB2312" w:hAnsi="仿宋_GB2312" w:eastAsia="仿宋_GB2312"/>
          <w:b w:val="0"/>
          <w:sz w:val="32"/>
        </w:rPr>
        <w:t>4.科学技术支出（类）基础研究（款）自然科学基金（项）：支出决算数为0.00万元，比上年决算减少2.01万元，下降100.00%，主要原因是：本年减少2023年度新疆人才发展基金项目。</w:t>
      </w:r>
    </w:p>
    <w:p w14:paraId="4313E183">
      <w:pPr>
        <w:spacing w:line="580" w:lineRule="exact"/>
        <w:ind w:firstLine="640"/>
        <w:jc w:val="both"/>
      </w:pPr>
      <w:r>
        <w:rPr>
          <w:rFonts w:ascii="仿宋_GB2312" w:hAnsi="仿宋_GB2312" w:eastAsia="仿宋_GB2312"/>
          <w:b w:val="0"/>
          <w:sz w:val="32"/>
        </w:rPr>
        <w:t>5.科学技术支出（类）基础研究（款）科技人才队伍建设（项）：支出决算数为4,943.78万元，比上年决算增加3,067.92万元，增长163.55%，主要原因是：2025年增加新疆人才发展基金2025年度第一轮支持资金。</w:t>
      </w:r>
    </w:p>
    <w:p w14:paraId="47715E0F">
      <w:pPr>
        <w:spacing w:line="580" w:lineRule="exact"/>
        <w:ind w:firstLine="640"/>
        <w:jc w:val="both"/>
      </w:pPr>
      <w:r>
        <w:rPr>
          <w:rFonts w:ascii="仿宋_GB2312" w:hAnsi="仿宋_GB2312" w:eastAsia="仿宋_GB2312"/>
          <w:b w:val="0"/>
          <w:sz w:val="32"/>
        </w:rPr>
        <w:t>6.科学技术支出（类）基础研究（款）其他基础研究支出（项）：支出决算数为154.53万元，比上年决算增加154.53万元，增长100.00%，主要原因是：2025年增加自治区年初预算项目资金-自治区高校基本科研业务费项目经费。</w:t>
      </w:r>
    </w:p>
    <w:p w14:paraId="28BB2D09">
      <w:pPr>
        <w:spacing w:line="580" w:lineRule="exact"/>
        <w:ind w:firstLine="640"/>
        <w:jc w:val="both"/>
      </w:pPr>
      <w:r>
        <w:rPr>
          <w:rFonts w:ascii="仿宋_GB2312" w:hAnsi="仿宋_GB2312" w:eastAsia="仿宋_GB2312"/>
          <w:b w:val="0"/>
          <w:sz w:val="32"/>
        </w:rPr>
        <w:t>7.科学技术支出（类）科技条件与服务（款）其他科技条件与服务支出（项）：支出决算数为106.80万元，比上年决算减少8.70万元，下降7.53%，主要原因是：2025年减少中央“三区”科技人才支持计划预算项目经费。</w:t>
      </w:r>
    </w:p>
    <w:p w14:paraId="683ACDDE">
      <w:pPr>
        <w:spacing w:line="580" w:lineRule="exact"/>
        <w:ind w:firstLine="640"/>
        <w:jc w:val="both"/>
      </w:pPr>
      <w:r>
        <w:rPr>
          <w:rFonts w:ascii="仿宋_GB2312" w:hAnsi="仿宋_GB2312" w:eastAsia="仿宋_GB2312"/>
          <w:b w:val="0"/>
          <w:sz w:val="32"/>
        </w:rPr>
        <w:t>8.科学技术支出（类）社会科学（款）社会科学研究（项）：支出决算数为10.89万元，比上年决算增加9.78万元，增长881.08%，主要原因是：2025年增加新时代党的治疆方略理论与实践研究课题项目经费。</w:t>
      </w:r>
    </w:p>
    <w:p w14:paraId="61E42780">
      <w:pPr>
        <w:spacing w:line="580" w:lineRule="exact"/>
        <w:ind w:firstLine="640"/>
        <w:jc w:val="both"/>
      </w:pPr>
      <w:r>
        <w:rPr>
          <w:rFonts w:ascii="仿宋_GB2312" w:hAnsi="仿宋_GB2312" w:eastAsia="仿宋_GB2312"/>
          <w:b w:val="0"/>
          <w:sz w:val="32"/>
        </w:rPr>
        <w:t>9.文化旅游体育与传媒支出（类）文化和旅游（款）其他文化和旅游支出（项）：支出决算数为44.00万元，比上年决算增加23.00万元，增长109.52%，主要原因是：2025年增加新疆人才发展基金2025年度第二轮支持资金--“天山英才”培养计划项目经费。</w:t>
      </w:r>
    </w:p>
    <w:p w14:paraId="58D83170">
      <w:pPr>
        <w:spacing w:line="580" w:lineRule="exact"/>
        <w:ind w:firstLine="640"/>
        <w:jc w:val="both"/>
      </w:pPr>
      <w:r>
        <w:rPr>
          <w:rFonts w:ascii="仿宋_GB2312" w:hAnsi="仿宋_GB2312" w:eastAsia="仿宋_GB2312"/>
          <w:b w:val="0"/>
          <w:sz w:val="32"/>
        </w:rPr>
        <w:t>10.社会保障和就业支出（类）人力资源和社会保障管理事务（款）其他人力资源和社会保障管理事务支出（项）：支出决算数为956.97万元，比上年决算减少430.81万元，下降31.04%，主要原因是：2025年减少自治区人事人才项目-知识更新、新疆人才发展基金第一轮支持资金—新疆人才发展基金、自治区博士后资助项目经费。</w:t>
      </w:r>
    </w:p>
    <w:p w14:paraId="1D7E5CEF">
      <w:pPr>
        <w:spacing w:line="580" w:lineRule="exact"/>
        <w:ind w:firstLine="640"/>
        <w:jc w:val="both"/>
      </w:pPr>
      <w:r>
        <w:rPr>
          <w:rFonts w:ascii="仿宋_GB2312" w:hAnsi="仿宋_GB2312" w:eastAsia="仿宋_GB2312"/>
          <w:b w:val="0"/>
          <w:sz w:val="32"/>
        </w:rPr>
        <w:t>11.卫生健康支出（类）医疗救助（款）其他医疗救助支出（项）：支出决算数为0.00万元，比上年决算减少190.00万元，下降100.00%，主要原因是：2025年减少高等教育发展保障经费-大学生医疗补助资金项目。</w:t>
      </w:r>
    </w:p>
    <w:p w14:paraId="2808B5ED">
      <w:pPr>
        <w:spacing w:line="580" w:lineRule="exact"/>
        <w:ind w:firstLine="640"/>
        <w:jc w:val="both"/>
      </w:pPr>
      <w:r>
        <w:rPr>
          <w:rFonts w:ascii="仿宋_GB2312" w:hAnsi="仿宋_GB2312" w:eastAsia="仿宋_GB2312"/>
          <w:b w:val="0"/>
          <w:sz w:val="32"/>
        </w:rPr>
        <w:t>12.节能环保支出（类）自然生态保护（款）生物及物种资源保护（项）：支出决算数为0.00万元，比上年决算减少53.28万元，下降100.00%，主要原因是：2025年减少中央林业草原生态保护恢复资金项目。</w:t>
      </w:r>
    </w:p>
    <w:p w14:paraId="4B2F9893">
      <w:pPr>
        <w:spacing w:line="580" w:lineRule="exact"/>
        <w:ind w:firstLine="640"/>
        <w:jc w:val="both"/>
      </w:pPr>
      <w:r>
        <w:rPr>
          <w:rFonts w:ascii="仿宋_GB2312" w:hAnsi="仿宋_GB2312" w:eastAsia="仿宋_GB2312"/>
          <w:b w:val="0"/>
          <w:sz w:val="32"/>
        </w:rPr>
        <w:t>13.农林水支出（类）农业农村（款）科技转化与推广服务（项）：支出决算数为1,908.53万元，比上年决算减少15.14万元，下降0.79%，主要原因是：本年减少农业农村部特色油料作物（油沙豆）全程机械化科研基地建设项目、农业科技推广与服务项目。</w:t>
      </w:r>
    </w:p>
    <w:p w14:paraId="2C2008F7">
      <w:pPr>
        <w:spacing w:line="580" w:lineRule="exact"/>
        <w:ind w:firstLine="640"/>
        <w:jc w:val="both"/>
      </w:pPr>
      <w:r>
        <w:rPr>
          <w:rFonts w:ascii="仿宋_GB2312" w:hAnsi="仿宋_GB2312" w:eastAsia="仿宋_GB2312"/>
          <w:b w:val="0"/>
          <w:sz w:val="32"/>
        </w:rPr>
        <w:t>14.农林水支出（类）农业农村（款）农业生产发展（项）：支出决算数为475.71万元，比上年决算增加33.42万元，增长7.56%，主要原因是：2025年增加中央农业经营主体能力提升资金、自治区农业生产发展资金、自治区农业农村发展创新与服务项目经费。</w:t>
      </w:r>
    </w:p>
    <w:p w14:paraId="1FA1988C">
      <w:pPr>
        <w:spacing w:line="580" w:lineRule="exact"/>
        <w:ind w:firstLine="640"/>
        <w:jc w:val="both"/>
      </w:pPr>
      <w:r>
        <w:rPr>
          <w:rFonts w:ascii="仿宋_GB2312" w:hAnsi="仿宋_GB2312" w:eastAsia="仿宋_GB2312"/>
          <w:b w:val="0"/>
          <w:sz w:val="32"/>
        </w:rPr>
        <w:t>15.农林水支出（类）农业农村（款）农村合作经济（项）：支出决算数为442.88万元，比上年决算增加13.46万元，增长3.13%，主要原因是：2025年增加中央农业经营主体能力提升资金项目经费。</w:t>
      </w:r>
    </w:p>
    <w:p w14:paraId="754E52E8">
      <w:pPr>
        <w:spacing w:line="580" w:lineRule="exact"/>
        <w:ind w:firstLine="640"/>
        <w:jc w:val="both"/>
      </w:pPr>
      <w:r>
        <w:rPr>
          <w:rFonts w:ascii="仿宋_GB2312" w:hAnsi="仿宋_GB2312" w:eastAsia="仿宋_GB2312"/>
          <w:b w:val="0"/>
          <w:sz w:val="32"/>
        </w:rPr>
        <w:t>16.农林水支出（类）农业农村（款）农业生态资源保护（项）：支出决算数为581.29万元，比上年决算减少1,856.65万元，下降76.16%，主要原因是：2025年减少藏粮于地藏粮于技专项、中央耕地建设与利用资金、自治区第三次土壤普查项目经费。</w:t>
      </w:r>
    </w:p>
    <w:p w14:paraId="2C9831D7">
      <w:pPr>
        <w:spacing w:line="580" w:lineRule="exact"/>
        <w:ind w:firstLine="640"/>
        <w:jc w:val="both"/>
      </w:pPr>
      <w:r>
        <w:rPr>
          <w:rFonts w:ascii="仿宋_GB2312" w:hAnsi="仿宋_GB2312" w:eastAsia="仿宋_GB2312"/>
          <w:b w:val="0"/>
          <w:sz w:val="32"/>
        </w:rPr>
        <w:t>17.农林水支出（类）农业农村（款）耕地建设与利用（项）：支出决算数为238.62万元，比上年决算减少46.26万元，下降16.24%，主要原因是：2025年减少中央耕地建设与利用资金支出。</w:t>
      </w:r>
    </w:p>
    <w:p w14:paraId="4EB82BD0">
      <w:pPr>
        <w:spacing w:line="580" w:lineRule="exact"/>
        <w:ind w:firstLine="640"/>
        <w:jc w:val="both"/>
      </w:pPr>
      <w:r>
        <w:rPr>
          <w:rFonts w:ascii="仿宋_GB2312" w:hAnsi="仿宋_GB2312" w:eastAsia="仿宋_GB2312"/>
          <w:b w:val="0"/>
          <w:sz w:val="32"/>
        </w:rPr>
        <w:t>18.农林水支出（类）林业和草原（款）森林资源培育（项）：支出决算数为166.60万元，比上年决算增加146.60万元，增长733.00%，主要原因是：2025年增加自治区林草专项项目经费。</w:t>
      </w:r>
    </w:p>
    <w:p w14:paraId="0016AEB8">
      <w:pPr>
        <w:spacing w:line="580" w:lineRule="exact"/>
        <w:ind w:firstLine="640"/>
        <w:jc w:val="both"/>
      </w:pPr>
      <w:r>
        <w:rPr>
          <w:rFonts w:ascii="仿宋_GB2312" w:hAnsi="仿宋_GB2312" w:eastAsia="仿宋_GB2312"/>
          <w:b w:val="0"/>
          <w:sz w:val="32"/>
        </w:rPr>
        <w:t>19.农林水支出（类）林业和草原（款）技术推广与转化（项）：支出决算数为834.36万元，比上年决算增加314.49万元，增长60.49%，主要原因是：2025年增加中央财政林业草原改革发展资金、自治区林草专项资金、新疆人才发展基金项目经费。</w:t>
      </w:r>
    </w:p>
    <w:p w14:paraId="22F3CCC8">
      <w:pPr>
        <w:spacing w:line="580" w:lineRule="exact"/>
        <w:ind w:firstLine="640"/>
        <w:jc w:val="both"/>
      </w:pPr>
      <w:r>
        <w:rPr>
          <w:rFonts w:ascii="仿宋_GB2312" w:hAnsi="仿宋_GB2312" w:eastAsia="仿宋_GB2312"/>
          <w:b w:val="0"/>
          <w:sz w:val="32"/>
        </w:rPr>
        <w:t>20.农林水支出（类）林业和草原（款）产业化管理（项）：支出决算数为335.00万元，比上年决算增加95.00万元，增长39.58%，主要原因是：2025年增加自治区葡萄酒产业发展项目经费。</w:t>
      </w:r>
    </w:p>
    <w:p w14:paraId="0E895493">
      <w:pPr>
        <w:spacing w:line="580" w:lineRule="exact"/>
        <w:ind w:firstLine="640"/>
        <w:jc w:val="both"/>
      </w:pPr>
      <w:r>
        <w:rPr>
          <w:rFonts w:ascii="仿宋_GB2312" w:hAnsi="仿宋_GB2312" w:eastAsia="仿宋_GB2312"/>
          <w:b w:val="0"/>
          <w:sz w:val="32"/>
        </w:rPr>
        <w:t>21.农林水支出（类）林业和草原（款）其他林业和草原支出（项）：支出决算数为0.00万元，比上年决算减少352.00万元，下降100.00%，主要原因是：2025年减少自治区林草专项资金项目。</w:t>
      </w:r>
    </w:p>
    <w:p w14:paraId="09C0F5AE">
      <w:pPr>
        <w:spacing w:line="640" w:lineRule="exact"/>
        <w:ind w:firstLine="640"/>
        <w:jc w:val="both"/>
        <w:outlineLvl w:val="2"/>
      </w:pPr>
      <w:r>
        <w:rPr>
          <w:rFonts w:ascii="黑体" w:hAnsi="黑体" w:eastAsia="黑体"/>
          <w:sz w:val="32"/>
        </w:rPr>
        <w:t>六、一般公共预算财政拨款基本支出决算情况说明</w:t>
      </w:r>
    </w:p>
    <w:p w14:paraId="2B6DA977">
      <w:pPr>
        <w:spacing w:line="580" w:lineRule="exact"/>
        <w:ind w:firstLine="640"/>
        <w:jc w:val="both"/>
      </w:pPr>
      <w:r>
        <w:rPr>
          <w:rFonts w:ascii="仿宋_GB2312" w:hAnsi="仿宋_GB2312" w:eastAsia="仿宋_GB2312"/>
          <w:b w:val="0"/>
          <w:sz w:val="32"/>
        </w:rPr>
        <w:t>2025年度一般公共预算财政拨款基本支出52,433.07万元，其中：</w:t>
      </w:r>
      <w:r>
        <w:rPr>
          <w:rFonts w:ascii="仿宋_GB2312" w:hAnsi="仿宋_GB2312" w:eastAsia="仿宋_GB2312"/>
          <w:b/>
          <w:sz w:val="32"/>
        </w:rPr>
        <w:t>人员经费45,483.47万元，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7BB0D486">
      <w:pPr>
        <w:spacing w:line="580" w:lineRule="exact"/>
        <w:ind w:firstLine="640"/>
        <w:jc w:val="both"/>
      </w:pPr>
      <w:r>
        <w:rPr>
          <w:rFonts w:ascii="仿宋_GB2312" w:hAnsi="仿宋_GB2312" w:eastAsia="仿宋_GB2312"/>
          <w:b/>
          <w:sz w:val="32"/>
        </w:rPr>
        <w:t>公用经费6,949.60万元，</w:t>
      </w:r>
      <w:r>
        <w:rPr>
          <w:rFonts w:ascii="仿宋_GB2312" w:hAnsi="仿宋_GB2312" w:eastAsia="仿宋_GB2312"/>
          <w:b w:val="0"/>
          <w:sz w:val="32"/>
        </w:rPr>
        <w:t>包括：办公费、印刷费、水费、电费、邮电费、取暖费、物业管理费、差旅费、培训费、工会经费、其他交通费用、其他商品和服务支出。</w:t>
      </w:r>
    </w:p>
    <w:p w14:paraId="36FF0CD3">
      <w:pPr>
        <w:spacing w:line="640" w:lineRule="exact"/>
        <w:ind w:firstLine="640"/>
        <w:jc w:val="both"/>
        <w:outlineLvl w:val="2"/>
      </w:pPr>
      <w:r>
        <w:rPr>
          <w:rFonts w:ascii="黑体" w:hAnsi="黑体" w:eastAsia="黑体"/>
          <w:sz w:val="32"/>
        </w:rPr>
        <w:t>七、政府性基金预算财政拨款收入支出决算情况说明</w:t>
      </w:r>
    </w:p>
    <w:p w14:paraId="6F72AA1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自治区大中小校园足球项目等重点支出，体现在有关支出科目中。</w:t>
      </w:r>
    </w:p>
    <w:p w14:paraId="56065A60">
      <w:pPr>
        <w:spacing w:line="580" w:lineRule="exact"/>
        <w:ind w:firstLine="640"/>
        <w:jc w:val="both"/>
      </w:pPr>
      <w:r>
        <w:rPr>
          <w:rFonts w:ascii="仿宋_GB2312" w:hAnsi="仿宋_GB2312" w:eastAsia="仿宋_GB2312"/>
          <w:b/>
          <w:sz w:val="32"/>
        </w:rPr>
        <w:t>2025年度政府性基金预算财政拨款收入总计138.90万元，</w:t>
      </w:r>
      <w:r>
        <w:rPr>
          <w:rFonts w:ascii="仿宋_GB2312" w:hAnsi="仿宋_GB2312" w:eastAsia="仿宋_GB2312"/>
          <w:b w:val="0"/>
          <w:sz w:val="32"/>
        </w:rPr>
        <w:t>其中：年初结转和结余0.00万元，本年收入138.90万元。</w:t>
      </w:r>
      <w:r>
        <w:rPr>
          <w:rFonts w:ascii="仿宋_GB2312" w:hAnsi="仿宋_GB2312" w:eastAsia="仿宋_GB2312"/>
          <w:b/>
          <w:sz w:val="32"/>
        </w:rPr>
        <w:t>政府性基金预算财政拨款支出总计138.90万元，</w:t>
      </w:r>
      <w:r>
        <w:rPr>
          <w:rFonts w:ascii="仿宋_GB2312" w:hAnsi="仿宋_GB2312" w:eastAsia="仿宋_GB2312"/>
          <w:b w:val="0"/>
          <w:sz w:val="32"/>
        </w:rPr>
        <w:t>其中：年末结转和结余0.00万元，本年支出138.90万元。</w:t>
      </w:r>
    </w:p>
    <w:p w14:paraId="08C832B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增加138.90万元，增长100.00%，主要原因是：2025年增加自治区彩票公益金—自治区大中小校园足球项目。</w:t>
      </w:r>
      <w:r>
        <w:rPr>
          <w:rFonts w:ascii="仿宋_GB2312" w:hAnsi="仿宋_GB2312" w:eastAsia="仿宋_GB2312"/>
          <w:b/>
          <w:sz w:val="32"/>
        </w:rPr>
        <w:t>与年初预算相比，</w:t>
      </w:r>
      <w:r>
        <w:rPr>
          <w:rFonts w:ascii="仿宋_GB2312" w:hAnsi="仿宋_GB2312" w:eastAsia="仿宋_GB2312"/>
          <w:b w:val="0"/>
          <w:sz w:val="32"/>
        </w:rPr>
        <w:t>年初预算数138.90万元，决算数138.90万元，预决算差异率0.00%，主要原因是：严格按照预算执行，预决算无差异。</w:t>
      </w:r>
    </w:p>
    <w:p w14:paraId="3CEAFEDB">
      <w:pPr>
        <w:spacing w:line="580" w:lineRule="exact"/>
        <w:ind w:firstLine="640"/>
        <w:jc w:val="both"/>
      </w:pPr>
      <w:r>
        <w:rPr>
          <w:rFonts w:ascii="仿宋_GB2312" w:hAnsi="仿宋_GB2312" w:eastAsia="仿宋_GB2312"/>
          <w:b w:val="0"/>
          <w:sz w:val="32"/>
        </w:rPr>
        <w:t>政府性基金预算财政拨款本年支出138.90万元。具体情况如下：</w:t>
      </w:r>
    </w:p>
    <w:p w14:paraId="71126872">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138.90万元，比上年决算增加138.90万元，增长100.00%，主要原因是：2025年增加自治区彩票公益金—自治区大中小校园足球项目。</w:t>
      </w:r>
    </w:p>
    <w:p w14:paraId="37C2F921">
      <w:pPr>
        <w:spacing w:line="640" w:lineRule="exact"/>
        <w:ind w:firstLine="640"/>
        <w:jc w:val="both"/>
        <w:outlineLvl w:val="2"/>
      </w:pPr>
      <w:r>
        <w:rPr>
          <w:rFonts w:ascii="黑体" w:hAnsi="黑体" w:eastAsia="黑体"/>
          <w:sz w:val="32"/>
        </w:rPr>
        <w:t>八、国有资本经营预算财政拨款收入支出决算情况说明</w:t>
      </w:r>
    </w:p>
    <w:p w14:paraId="7C9A1B9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AB6E63A">
      <w:pPr>
        <w:spacing w:line="640" w:lineRule="exact"/>
        <w:ind w:firstLine="640"/>
        <w:jc w:val="both"/>
        <w:outlineLvl w:val="2"/>
      </w:pPr>
      <w:r>
        <w:rPr>
          <w:rFonts w:ascii="黑体" w:hAnsi="黑体" w:eastAsia="黑体"/>
          <w:sz w:val="32"/>
        </w:rPr>
        <w:t>九、财政拨款“三公”经费支出决算情况说明</w:t>
      </w:r>
    </w:p>
    <w:p w14:paraId="29B66A47">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109DCF25">
      <w:pPr>
        <w:spacing w:line="580" w:lineRule="exact"/>
        <w:ind w:firstLine="640"/>
        <w:jc w:val="both"/>
      </w:pPr>
      <w:r>
        <w:rPr>
          <w:rFonts w:ascii="仿宋_GB2312" w:hAnsi="仿宋_GB2312" w:eastAsia="仿宋_GB2312"/>
          <w:b/>
          <w:sz w:val="32"/>
        </w:rPr>
        <w:t>具体情况如下：</w:t>
      </w:r>
    </w:p>
    <w:p w14:paraId="6C84609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7E903A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51辆，与公务用车保有量差异原因是：差异车辆为单位业务用车，车辆费用未使用财政拨款公务用车运行维护费支付，由自筹资金保障。</w:t>
      </w:r>
    </w:p>
    <w:p w14:paraId="0E3CB57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5CFE37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ED582F1">
      <w:pPr>
        <w:spacing w:line="640" w:lineRule="exact"/>
        <w:ind w:firstLine="640"/>
        <w:jc w:val="both"/>
        <w:outlineLvl w:val="2"/>
      </w:pPr>
      <w:r>
        <w:rPr>
          <w:rFonts w:ascii="黑体" w:hAnsi="黑体" w:eastAsia="黑体"/>
          <w:sz w:val="32"/>
        </w:rPr>
        <w:t>十、其他重要事项的情况说明</w:t>
      </w:r>
    </w:p>
    <w:p w14:paraId="7B9F28AA">
      <w:pPr>
        <w:spacing w:line="640" w:lineRule="exact"/>
        <w:ind w:firstLine="640"/>
        <w:jc w:val="both"/>
        <w:outlineLvl w:val="3"/>
      </w:pPr>
      <w:r>
        <w:rPr>
          <w:rFonts w:ascii="楷体_GB2312" w:hAnsi="楷体_GB2312" w:eastAsia="楷体_GB2312"/>
          <w:b/>
          <w:sz w:val="32"/>
        </w:rPr>
        <w:t>（一）机关运行经费及公用经费支出情况</w:t>
      </w:r>
    </w:p>
    <w:p w14:paraId="0439609B">
      <w:pPr>
        <w:spacing w:line="580" w:lineRule="exact"/>
        <w:ind w:firstLine="640"/>
        <w:jc w:val="both"/>
      </w:pPr>
      <w:r>
        <w:rPr>
          <w:rFonts w:ascii="仿宋_GB2312" w:hAnsi="仿宋_GB2312" w:eastAsia="仿宋_GB2312"/>
          <w:b w:val="0"/>
          <w:sz w:val="32"/>
        </w:rPr>
        <w:t>2025年度新疆农业大学（本级）（事业单位）公用经费支出6,949.60万元，比上年增加2,442.91万元，增长54.21%，主要原因是：2025年学生人数增加，生均拨款增加，电费、取暖费等公用经费支出增加。</w:t>
      </w:r>
    </w:p>
    <w:p w14:paraId="31331124">
      <w:pPr>
        <w:spacing w:line="640" w:lineRule="exact"/>
        <w:ind w:firstLine="640"/>
        <w:jc w:val="both"/>
        <w:outlineLvl w:val="3"/>
      </w:pPr>
      <w:r>
        <w:rPr>
          <w:rFonts w:ascii="楷体_GB2312" w:hAnsi="楷体_GB2312" w:eastAsia="楷体_GB2312"/>
          <w:b/>
          <w:sz w:val="32"/>
        </w:rPr>
        <w:t>（二）政府采购情况</w:t>
      </w:r>
    </w:p>
    <w:p w14:paraId="13DABC11">
      <w:pPr>
        <w:spacing w:line="580" w:lineRule="exact"/>
        <w:ind w:firstLine="640"/>
        <w:jc w:val="both"/>
      </w:pPr>
      <w:r>
        <w:rPr>
          <w:rFonts w:ascii="仿宋_GB2312" w:hAnsi="仿宋_GB2312" w:eastAsia="仿宋_GB2312"/>
          <w:b w:val="0"/>
          <w:sz w:val="32"/>
        </w:rPr>
        <w:t>2025年度政府采购支出总额20,218.80万元，其中：政府采购货物支出10,698.86万元、政府采购工程支出6,972.58万元、政府采购服务支出2,547.37万元。</w:t>
      </w:r>
    </w:p>
    <w:p w14:paraId="108860AC">
      <w:pPr>
        <w:spacing w:line="580" w:lineRule="exact"/>
        <w:ind w:firstLine="640"/>
        <w:jc w:val="both"/>
      </w:pPr>
      <w:r>
        <w:rPr>
          <w:rFonts w:ascii="仿宋_GB2312" w:hAnsi="仿宋_GB2312" w:eastAsia="仿宋_GB2312"/>
          <w:b w:val="0"/>
          <w:sz w:val="32"/>
        </w:rPr>
        <w:t>授予中小企业合同金额17,465.77万元，占政府采购支出总额的86.38%，其中：授予小微企业合同金额16,792.60万元，占政府采购支出总额的83.05%。</w:t>
      </w:r>
    </w:p>
    <w:p w14:paraId="3105A660">
      <w:pPr>
        <w:spacing w:line="640" w:lineRule="exact"/>
        <w:ind w:firstLine="640"/>
        <w:jc w:val="both"/>
        <w:outlineLvl w:val="3"/>
      </w:pPr>
      <w:r>
        <w:rPr>
          <w:rFonts w:ascii="楷体_GB2312" w:hAnsi="楷体_GB2312" w:eastAsia="楷体_GB2312"/>
          <w:b/>
          <w:sz w:val="32"/>
        </w:rPr>
        <w:t>（三）国有资产占用情况说明</w:t>
      </w:r>
    </w:p>
    <w:p w14:paraId="17E1C4B4">
      <w:pPr>
        <w:spacing w:line="580" w:lineRule="exact"/>
        <w:ind w:firstLine="640"/>
        <w:jc w:val="both"/>
      </w:pPr>
      <w:r>
        <w:rPr>
          <w:rFonts w:ascii="仿宋_GB2312" w:hAnsi="仿宋_GB2312" w:eastAsia="仿宋_GB2312"/>
          <w:b w:val="0"/>
          <w:sz w:val="32"/>
        </w:rPr>
        <w:t>截至2025年12月31日，房屋767,688.24平方米，价值145,523.07万元。车辆51辆，价值1,186.25万元，其中：副部（省）级及以上领导用车0辆、主要负责人用车9辆、机要通信用车0辆、应急保障用车0辆、执法执勤用车0辆、特种专业技术用车14辆、离退休干部服务用车0辆、其他用车28辆，其他用车主要是：单位业务用车。单价100万元（含）以上设备（不含车辆）48台（套）。</w:t>
      </w:r>
    </w:p>
    <w:p w14:paraId="3A3A68D5">
      <w:pPr>
        <w:spacing w:line="640" w:lineRule="exact"/>
        <w:ind w:firstLine="640"/>
        <w:jc w:val="both"/>
        <w:outlineLvl w:val="2"/>
      </w:pPr>
      <w:r>
        <w:rPr>
          <w:rFonts w:ascii="黑体" w:hAnsi="黑体" w:eastAsia="黑体"/>
          <w:sz w:val="32"/>
        </w:rPr>
        <w:t>十一、预算绩效的情况说明</w:t>
      </w:r>
    </w:p>
    <w:p w14:paraId="5523820A">
      <w:pPr>
        <w:spacing w:line="580" w:lineRule="exact"/>
        <w:ind w:firstLine="640"/>
        <w:jc w:val="both"/>
      </w:pPr>
      <w:r>
        <w:rPr>
          <w:rFonts w:ascii="仿宋_GB2312" w:hAnsi="仿宋_GB2312" w:eastAsia="仿宋_GB2312"/>
          <w:b w:val="0"/>
          <w:sz w:val="32"/>
        </w:rPr>
        <w:t>根据预算绩效管理要求，本单位预算绩效评价项目2个，全年预算数65,164.51万元，全年执行数55,580.45万元。预算绩效管理取得的成效：一是树立项目预算编制的绩效理念，提高了项目资金使用效益；二是根据项目资金执行进度，及时发现项目资金管理中的漏洞，纠正绩效目标执行中的偏差，不断改进预算执行的成效。发现的问题及原因：一是部分项目资金使用部门对预算绩效管理工作重视</w:t>
      </w:r>
      <w:r>
        <w:rPr>
          <w:rFonts w:hint="eastAsia" w:ascii="仿宋_GB2312" w:hAnsi="仿宋_GB2312" w:eastAsia="仿宋_GB2312"/>
          <w:b w:val="0"/>
          <w:sz w:val="32"/>
          <w:lang w:eastAsia="zh-CN"/>
        </w:rPr>
        <w:t>程度</w:t>
      </w:r>
      <w:r>
        <w:rPr>
          <w:rFonts w:ascii="仿宋_GB2312" w:hAnsi="仿宋_GB2312" w:eastAsia="仿宋_GB2312"/>
          <w:b w:val="0"/>
          <w:sz w:val="32"/>
        </w:rPr>
        <w:t>不足，工作缺乏主动性；二是项目资金申报绩效目标不够明确，设计的评价指标体系不科学、不严谨。下一步改进措施：一是切实加强对全面实施绩效管理的认识，树立项目预算编制的绩效理念，强化项目管理主体、项目实施主体意识，提高预算绩效管理工作的自觉性和主动性。组织开展项目预算绩效评价知识的学习，将绩效管理的理念、方法融入预算管理的全过程；二是完善预算绩效评价制度，加强财务信息化建设，上线全面</w:t>
      </w:r>
      <w:r>
        <w:rPr>
          <w:rFonts w:hint="eastAsia" w:ascii="仿宋_GB2312" w:hAnsi="仿宋_GB2312" w:eastAsia="仿宋_GB2312"/>
          <w:b w:val="0"/>
          <w:sz w:val="32"/>
          <w:lang w:eastAsia="zh-CN"/>
        </w:rPr>
        <w:t>预算绩效管理</w:t>
      </w:r>
      <w:r>
        <w:rPr>
          <w:rFonts w:ascii="仿宋_GB2312" w:hAnsi="仿宋_GB2312" w:eastAsia="仿宋_GB2312"/>
          <w:b w:val="0"/>
          <w:sz w:val="32"/>
        </w:rPr>
        <w:t>平台，实现从预算编制、预算下拨到预算执行与预算结果反馈全过程的预算管理，增加预算管理的可控性和透明度，加强规划、计划与预算的结合，提高财政和学校自有资金配置和使用效益；三是严格落实预算绩效评价工作，开展预算绩效评价备案制，实施全方位、全过程、全覆盖的预算绩效管理，加</w:t>
      </w:r>
      <w:r>
        <w:rPr>
          <w:rFonts w:hint="eastAsia" w:ascii="仿宋_GB2312" w:hAnsi="仿宋_GB2312" w:eastAsia="仿宋_GB2312"/>
          <w:b w:val="0"/>
          <w:sz w:val="32"/>
          <w:lang w:eastAsia="zh-CN"/>
        </w:rPr>
        <w:t>大对</w:t>
      </w:r>
      <w:r>
        <w:rPr>
          <w:rFonts w:ascii="仿宋_GB2312" w:hAnsi="仿宋_GB2312" w:eastAsia="仿宋_GB2312"/>
          <w:b w:val="0"/>
          <w:sz w:val="32"/>
        </w:rPr>
        <w:t>项目资金执行进度的督促力度，及时发现项目资金管理中的漏洞，纠正绩效目标执行中的偏差，不断推进预算绩效评价的成效。具体附项目支出绩效自评表。</w:t>
      </w:r>
    </w:p>
    <w:p w14:paraId="5005A2DF">
      <w:r>
        <w:br w:type="page"/>
      </w:r>
    </w:p>
    <w:p w14:paraId="00B463B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FF774E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57EBB61">
            <w:pPr>
              <w:spacing w:before="0" w:after="0" w:line="240" w:lineRule="auto"/>
              <w:jc w:val="center"/>
            </w:pPr>
            <w:r>
              <w:rPr>
                <w:rFonts w:ascii="宋体" w:hAnsi="宋体" w:eastAsia="宋体"/>
                <w:b/>
                <w:i w:val="0"/>
                <w:sz w:val="32"/>
              </w:rPr>
              <w:t>项目支出绩效自评表</w:t>
            </w:r>
          </w:p>
        </w:tc>
      </w:tr>
      <w:tr w14:paraId="786E40F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AA89C7E">
            <w:pPr>
              <w:spacing w:before="0" w:after="0" w:line="240" w:lineRule="auto"/>
              <w:jc w:val="center"/>
            </w:pPr>
            <w:r>
              <w:rPr>
                <w:rFonts w:ascii="宋体" w:hAnsi="宋体" w:eastAsia="宋体"/>
                <w:b w:val="0"/>
                <w:i w:val="0"/>
                <w:sz w:val="22"/>
              </w:rPr>
              <w:t>(2025年度)</w:t>
            </w:r>
          </w:p>
        </w:tc>
      </w:tr>
      <w:tr w14:paraId="5830B5D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316C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69D6B0F">
            <w:pPr>
              <w:spacing w:before="0" w:after="0" w:line="240" w:lineRule="auto"/>
              <w:jc w:val="center"/>
            </w:pPr>
            <w:r>
              <w:rPr>
                <w:rFonts w:ascii="宋体" w:hAnsi="宋体" w:eastAsia="宋体"/>
                <w:b w:val="0"/>
                <w:i w:val="0"/>
                <w:sz w:val="18"/>
              </w:rPr>
              <w:t>新疆农业大学2025年非财政拨款项目</w:t>
            </w:r>
          </w:p>
        </w:tc>
      </w:tr>
      <w:tr w14:paraId="06DAD66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7D13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F34D06">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A003D">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B952EF">
            <w:pPr>
              <w:spacing w:before="0" w:after="0" w:line="240" w:lineRule="auto"/>
              <w:jc w:val="center"/>
            </w:pPr>
            <w:r>
              <w:rPr>
                <w:rFonts w:ascii="宋体" w:hAnsi="宋体" w:eastAsia="宋体"/>
                <w:b w:val="0"/>
                <w:i w:val="0"/>
                <w:sz w:val="18"/>
              </w:rPr>
              <w:t>新疆农业大学（本级）</w:t>
            </w:r>
          </w:p>
        </w:tc>
      </w:tr>
      <w:tr w14:paraId="580D966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D064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003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20DD7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CFFE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534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6308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6A8C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EA210">
            <w:pPr>
              <w:spacing w:before="0" w:after="0" w:line="240" w:lineRule="auto"/>
              <w:jc w:val="center"/>
            </w:pPr>
            <w:r>
              <w:rPr>
                <w:rFonts w:ascii="宋体" w:hAnsi="宋体" w:eastAsia="宋体"/>
                <w:b/>
                <w:i w:val="0"/>
                <w:sz w:val="18"/>
              </w:rPr>
              <w:t>得分</w:t>
            </w:r>
          </w:p>
        </w:tc>
      </w:tr>
      <w:tr w14:paraId="73990DC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46FA2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E7B5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FB2B5">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DC6F2">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3A6A2">
            <w:pPr>
              <w:spacing w:before="0" w:after="0" w:line="240" w:lineRule="auto"/>
              <w:jc w:val="center"/>
            </w:pPr>
            <w:r>
              <w:rPr>
                <w:rFonts w:ascii="宋体" w:hAnsi="宋体" w:eastAsia="宋体"/>
                <w:b w:val="0"/>
                <w:i w:val="0"/>
                <w:sz w:val="18"/>
              </w:rPr>
              <w:t>51,566.12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DE56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50B7B">
            <w:pPr>
              <w:spacing w:before="0" w:after="0" w:line="240" w:lineRule="auto"/>
              <w:jc w:val="center"/>
            </w:pPr>
            <w:r>
              <w:rPr>
                <w:rFonts w:ascii="宋体" w:hAnsi="宋体" w:eastAsia="宋体"/>
                <w:b w:val="0"/>
                <w:i w:val="0"/>
                <w:sz w:val="18"/>
              </w:rPr>
              <w:t>85.97%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92E4C">
            <w:pPr>
              <w:spacing w:before="0" w:after="0" w:line="240" w:lineRule="auto"/>
              <w:jc w:val="center"/>
            </w:pPr>
            <w:r>
              <w:rPr>
                <w:rFonts w:ascii="宋体" w:hAnsi="宋体" w:eastAsia="宋体"/>
                <w:b w:val="0"/>
                <w:i w:val="0"/>
                <w:sz w:val="18"/>
              </w:rPr>
              <w:t>6.49</w:t>
            </w:r>
          </w:p>
        </w:tc>
      </w:tr>
      <w:tr w14:paraId="67E1AF5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B33C03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82B7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1DAC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F349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6918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6F2C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CEF5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ADFBC">
            <w:pPr>
              <w:spacing w:before="0" w:after="0" w:line="240" w:lineRule="auto"/>
              <w:jc w:val="center"/>
            </w:pPr>
            <w:r>
              <w:rPr>
                <w:rFonts w:ascii="宋体" w:hAnsi="宋体" w:eastAsia="宋体"/>
                <w:b w:val="0"/>
                <w:i w:val="0"/>
                <w:sz w:val="18"/>
              </w:rPr>
              <w:t>—</w:t>
            </w:r>
          </w:p>
        </w:tc>
      </w:tr>
      <w:tr w14:paraId="5A0042E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0EAEE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161A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384B0">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D2381">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7B2C6">
            <w:pPr>
              <w:spacing w:before="0" w:after="0" w:line="240" w:lineRule="auto"/>
              <w:jc w:val="center"/>
            </w:pPr>
            <w:r>
              <w:rPr>
                <w:rFonts w:ascii="宋体" w:hAnsi="宋体" w:eastAsia="宋体"/>
                <w:b w:val="0"/>
                <w:i w:val="0"/>
                <w:sz w:val="18"/>
              </w:rPr>
              <w:t>51,566.12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0591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000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ED538">
            <w:pPr>
              <w:spacing w:before="0" w:after="0" w:line="240" w:lineRule="auto"/>
              <w:jc w:val="center"/>
            </w:pPr>
            <w:r>
              <w:rPr>
                <w:rFonts w:ascii="宋体" w:hAnsi="宋体" w:eastAsia="宋体"/>
                <w:b w:val="0"/>
                <w:i w:val="0"/>
                <w:sz w:val="18"/>
              </w:rPr>
              <w:t>—</w:t>
            </w:r>
          </w:p>
        </w:tc>
      </w:tr>
      <w:tr w14:paraId="0E6A2B7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1A918">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D4937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40375">
            <w:pPr>
              <w:spacing w:before="0" w:after="0" w:line="240" w:lineRule="auto"/>
              <w:jc w:val="center"/>
            </w:pPr>
            <w:r>
              <w:rPr>
                <w:rFonts w:ascii="宋体" w:hAnsi="宋体" w:eastAsia="宋体"/>
                <w:b/>
                <w:i w:val="0"/>
                <w:sz w:val="18"/>
              </w:rPr>
              <w:t>实际完成情况</w:t>
            </w:r>
          </w:p>
        </w:tc>
      </w:tr>
      <w:tr w14:paraId="2A903FE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C333F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3B9202">
            <w:pPr>
              <w:spacing w:before="0" w:after="0" w:line="240" w:lineRule="auto"/>
              <w:jc w:val="center"/>
            </w:pPr>
            <w:r>
              <w:rPr>
                <w:rFonts w:ascii="宋体" w:hAnsi="宋体" w:eastAsia="宋体"/>
                <w:b w:val="0"/>
                <w:i w:val="0"/>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w:t>
            </w:r>
            <w:r>
              <w:rPr>
                <w:rFonts w:ascii="宋体" w:hAnsi="宋体" w:eastAsia="宋体"/>
                <w:b w:val="0"/>
                <w:i w:val="0"/>
                <w:sz w:val="18"/>
              </w:rPr>
              <w:tab/>
            </w:r>
            <w:r>
              <w:rPr>
                <w:rFonts w:ascii="宋体" w:hAnsi="宋体" w:eastAsia="宋体"/>
                <w:b w:val="0"/>
                <w:i w:val="0"/>
                <w:sz w:val="18"/>
              </w:rPr>
              <w:t>
2.改善学校的办学条件，维护校园环境，保障学校的校舍满足逐年增长的学生日常学习需要，改善我校学生住宿条</w:t>
            </w:r>
            <w:r>
              <w:rPr>
                <w:rFonts w:hint="eastAsia" w:ascii="宋体" w:hAnsi="宋体"/>
                <w:b w:val="0"/>
                <w:i w:val="0"/>
                <w:sz w:val="18"/>
                <w:lang w:eastAsia="zh-CN"/>
              </w:rPr>
              <w:t>件和</w:t>
            </w:r>
            <w:r>
              <w:rPr>
                <w:rFonts w:ascii="宋体" w:hAnsi="宋体" w:eastAsia="宋体"/>
                <w:b w:val="0"/>
                <w:i w:val="0"/>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8BFB01">
            <w:pPr>
              <w:spacing w:before="0" w:after="0" w:line="240" w:lineRule="auto"/>
              <w:jc w:val="center"/>
            </w:pPr>
            <w:r>
              <w:rPr>
                <w:rFonts w:ascii="宋体" w:hAnsi="宋体" w:eastAsia="宋体"/>
                <w:b w:val="0"/>
                <w:i w:val="0"/>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 2.改善学校的办学条件，维护校园环境，保障学校的校舍满足逐年增长的学生日常学习需要，改善我校学生住宿条</w:t>
            </w:r>
            <w:r>
              <w:rPr>
                <w:rFonts w:hint="eastAsia" w:ascii="宋体" w:hAnsi="宋体"/>
                <w:b w:val="0"/>
                <w:i w:val="0"/>
                <w:sz w:val="18"/>
                <w:lang w:eastAsia="zh-CN"/>
              </w:rPr>
              <w:t>件和</w:t>
            </w:r>
            <w:r>
              <w:rPr>
                <w:rFonts w:ascii="宋体" w:hAnsi="宋体" w:eastAsia="宋体"/>
                <w:b w:val="0"/>
                <w:i w:val="0"/>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r>
      <w:tr w14:paraId="50E596C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45368">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95F42">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65147">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6D211">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987CA">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CC147">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4A74D">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55745">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BEFAB">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5A57A">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16941">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6F2C3">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5A88D">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2ACD2">
            <w:pPr>
              <w:keepNext/>
              <w:spacing w:before="0" w:after="0" w:line="240" w:lineRule="auto"/>
              <w:jc w:val="center"/>
            </w:pPr>
            <w:r>
              <w:rPr>
                <w:rFonts w:ascii="宋体" w:hAnsi="宋体" w:eastAsia="宋体"/>
                <w:b/>
                <w:i w:val="0"/>
                <w:sz w:val="18"/>
              </w:rPr>
              <w:t>偏差原因分析及改进措施</w:t>
            </w:r>
          </w:p>
        </w:tc>
      </w:tr>
      <w:tr w14:paraId="2E54586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7CBE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1C7E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5229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81E6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F83A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140F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BB02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ADF5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C29C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B396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1AC7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7D90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7186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CB6694"/>
        </w:tc>
      </w:tr>
      <w:tr w14:paraId="08949DC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1DECB">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1EBCD">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B747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53677">
            <w:pPr>
              <w:keepNext/>
              <w:spacing w:before="0" w:after="0" w:line="240" w:lineRule="auto"/>
              <w:jc w:val="center"/>
            </w:pPr>
            <w:r>
              <w:rPr>
                <w:rFonts w:ascii="宋体" w:hAnsi="宋体" w:eastAsia="宋体"/>
                <w:b w:val="0"/>
                <w:i w:val="0"/>
                <w:sz w:val="18"/>
              </w:rPr>
              <w:t>还贷次数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EA87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F54A5">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CC7F2">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BE01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03A0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D0B3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D665F">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FE25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B053B">
            <w:pPr>
              <w:keepNext/>
              <w:spacing w:before="0" w:after="0" w:line="240" w:lineRule="auto"/>
              <w:jc w:val="center"/>
            </w:pPr>
            <w:r>
              <w:rPr>
                <w:rFonts w:ascii="宋体" w:hAnsi="宋体" w:eastAsia="宋体"/>
                <w:b w:val="0"/>
                <w:i w:val="0"/>
                <w:sz w:val="18"/>
              </w:rPr>
              <w:t>原始凭证，工作资料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2E889">
            <w:pPr>
              <w:keepNext/>
              <w:spacing w:before="0" w:after="0" w:line="240" w:lineRule="auto"/>
              <w:jc w:val="center"/>
            </w:pPr>
          </w:p>
        </w:tc>
      </w:tr>
      <w:tr w14:paraId="719B92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31BB3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0F80E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4D70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24656">
            <w:pPr>
              <w:keepNext/>
              <w:spacing w:before="0" w:after="0" w:line="240" w:lineRule="auto"/>
              <w:jc w:val="center"/>
            </w:pPr>
            <w:r>
              <w:rPr>
                <w:rFonts w:ascii="宋体" w:hAnsi="宋体" w:eastAsia="宋体"/>
                <w:b w:val="0"/>
                <w:i w:val="0"/>
                <w:sz w:val="18"/>
              </w:rPr>
              <w:t>外聘工资每月发放人数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D76A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5C154">
            <w:pPr>
              <w:keepNext/>
              <w:spacing w:before="0" w:after="0" w:line="240" w:lineRule="auto"/>
              <w:jc w:val="center"/>
            </w:pPr>
            <w:r>
              <w:rPr>
                <w:rFonts w:ascii="宋体" w:hAnsi="宋体" w:eastAsia="宋体"/>
                <w:b w:val="0"/>
                <w:i w:val="0"/>
                <w:sz w:val="18"/>
              </w:rPr>
              <w:t>&gt;=460人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7AF7C">
            <w:pPr>
              <w:keepNext/>
              <w:spacing w:before="0" w:after="0" w:line="240" w:lineRule="auto"/>
              <w:jc w:val="center"/>
            </w:pPr>
            <w:r>
              <w:rPr>
                <w:rFonts w:ascii="宋体" w:hAnsi="宋体" w:eastAsia="宋体"/>
                <w:b w:val="0"/>
                <w:i w:val="0"/>
                <w:sz w:val="18"/>
              </w:rPr>
              <w:t>=463人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A606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10B6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F0F8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10A33">
            <w:pPr>
              <w:keepNext/>
              <w:spacing w:before="0" w:after="0" w:line="240" w:lineRule="auto"/>
              <w:jc w:val="center"/>
            </w:pPr>
            <w:r>
              <w:rPr>
                <w:rFonts w:ascii="宋体" w:hAnsi="宋体" w:eastAsia="宋体"/>
                <w:b w:val="0"/>
                <w:i w:val="0"/>
                <w:sz w:val="18"/>
              </w:rPr>
              <w:t>475人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7341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E5032">
            <w:pPr>
              <w:keepNext/>
              <w:spacing w:before="0" w:after="0" w:line="240" w:lineRule="auto"/>
              <w:jc w:val="center"/>
            </w:pPr>
            <w:r>
              <w:rPr>
                <w:rFonts w:ascii="宋体" w:hAnsi="宋体" w:eastAsia="宋体"/>
                <w:b w:val="0"/>
                <w:i w:val="0"/>
                <w:sz w:val="18"/>
              </w:rPr>
              <w:t>原始凭证，工作资料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6F63C">
            <w:pPr>
              <w:keepNext/>
              <w:spacing w:before="0" w:after="0" w:line="240" w:lineRule="auto"/>
              <w:jc w:val="center"/>
            </w:pPr>
          </w:p>
        </w:tc>
      </w:tr>
      <w:tr w14:paraId="2E2C93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89F29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7BF97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255A4">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3A513">
            <w:pPr>
              <w:keepNext/>
              <w:spacing w:before="0" w:after="0" w:line="240" w:lineRule="auto"/>
              <w:jc w:val="center"/>
            </w:pPr>
            <w:r>
              <w:rPr>
                <w:rFonts w:ascii="宋体" w:hAnsi="宋体" w:eastAsia="宋体"/>
                <w:b w:val="0"/>
                <w:i w:val="0"/>
                <w:sz w:val="18"/>
              </w:rPr>
              <w:t>校级教改项目数量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6599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8F433">
            <w:pPr>
              <w:keepNext/>
              <w:spacing w:before="0" w:after="0" w:line="240" w:lineRule="auto"/>
              <w:jc w:val="center"/>
            </w:pPr>
            <w:r>
              <w:rPr>
                <w:rFonts w:ascii="宋体" w:hAnsi="宋体" w:eastAsia="宋体"/>
                <w:b w:val="0"/>
                <w:i w:val="0"/>
                <w:sz w:val="18"/>
              </w:rPr>
              <w:t>&gt;=250项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B1A72">
            <w:pPr>
              <w:keepNext/>
              <w:spacing w:before="0" w:after="0" w:line="240" w:lineRule="auto"/>
              <w:jc w:val="center"/>
            </w:pPr>
            <w:r>
              <w:rPr>
                <w:rFonts w:ascii="宋体" w:hAnsi="宋体" w:eastAsia="宋体"/>
                <w:b w:val="0"/>
                <w:i w:val="0"/>
                <w:sz w:val="18"/>
              </w:rPr>
              <w:t>=277项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A8E234">
            <w:pPr>
              <w:keepNext/>
              <w:spacing w:before="0" w:after="0" w:line="240" w:lineRule="auto"/>
              <w:jc w:val="center"/>
            </w:pPr>
            <w:r>
              <w:rPr>
                <w:rFonts w:ascii="宋体" w:hAnsi="宋体" w:eastAsia="宋体"/>
                <w:b w:val="0"/>
                <w:i w:val="0"/>
                <w:sz w:val="18"/>
              </w:rPr>
              <w:t>110%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6D0DE">
            <w:pPr>
              <w:keepNext/>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7E65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47AE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AFE7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8AD8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8128B">
            <w:pPr>
              <w:keepNext/>
              <w:spacing w:before="0" w:after="0" w:line="240" w:lineRule="auto"/>
              <w:jc w:val="center"/>
            </w:pPr>
            <w:r>
              <w:rPr>
                <w:rFonts w:ascii="宋体" w:hAnsi="宋体" w:eastAsia="宋体"/>
                <w:b w:val="0"/>
                <w:i w:val="0"/>
                <w:sz w:val="18"/>
              </w:rPr>
              <w:t>根据学校实际情况立项校级教改项目，超过年初设定目标</w:t>
            </w:r>
          </w:p>
        </w:tc>
      </w:tr>
      <w:tr w14:paraId="17B6F45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F0BC8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6D9C9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3A87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D8128">
            <w:pPr>
              <w:keepNext/>
              <w:spacing w:before="0" w:after="0" w:line="240" w:lineRule="auto"/>
              <w:jc w:val="center"/>
            </w:pPr>
            <w:r>
              <w:rPr>
                <w:rFonts w:ascii="宋体" w:hAnsi="宋体" w:eastAsia="宋体"/>
                <w:b w:val="0"/>
                <w:i w:val="0"/>
                <w:sz w:val="18"/>
              </w:rPr>
              <w:t>科研课题立项数量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1678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CB9E0">
            <w:pPr>
              <w:keepNext/>
              <w:spacing w:before="0" w:after="0" w:line="240" w:lineRule="auto"/>
              <w:jc w:val="center"/>
            </w:pPr>
            <w:r>
              <w:rPr>
                <w:rFonts w:ascii="宋体" w:hAnsi="宋体" w:eastAsia="宋体"/>
                <w:b w:val="0"/>
                <w:i w:val="0"/>
                <w:sz w:val="18"/>
              </w:rPr>
              <w:t>&gt;=255项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E9D53">
            <w:pPr>
              <w:keepNext/>
              <w:spacing w:before="0" w:after="0" w:line="240" w:lineRule="auto"/>
              <w:jc w:val="center"/>
            </w:pPr>
            <w:r>
              <w:rPr>
                <w:rFonts w:ascii="宋体" w:hAnsi="宋体" w:eastAsia="宋体"/>
                <w:b w:val="0"/>
                <w:i w:val="0"/>
                <w:sz w:val="18"/>
              </w:rPr>
              <w:t>=281项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FEA13">
            <w:pPr>
              <w:keepNext/>
              <w:spacing w:before="0" w:after="0" w:line="240" w:lineRule="auto"/>
              <w:jc w:val="center"/>
            </w:pPr>
            <w:r>
              <w:rPr>
                <w:rFonts w:ascii="宋体" w:hAnsi="宋体" w:eastAsia="宋体"/>
                <w:b w:val="0"/>
                <w:i w:val="0"/>
                <w:sz w:val="18"/>
              </w:rPr>
              <w:t>110%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32AFB">
            <w:pPr>
              <w:keepNext/>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2314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2C8C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69E8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0635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A1200">
            <w:pPr>
              <w:keepNext/>
              <w:spacing w:before="0" w:after="0" w:line="240" w:lineRule="auto"/>
              <w:jc w:val="center"/>
            </w:pPr>
            <w:r>
              <w:rPr>
                <w:rFonts w:ascii="宋体" w:hAnsi="宋体" w:eastAsia="宋体"/>
                <w:b w:val="0"/>
                <w:i w:val="0"/>
                <w:sz w:val="18"/>
              </w:rPr>
              <w:t>根据学校实际情况立项，超过年初设定目标</w:t>
            </w:r>
          </w:p>
        </w:tc>
      </w:tr>
      <w:tr w14:paraId="34C254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082C7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54FD3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510EA">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5DF5C">
            <w:pPr>
              <w:keepNext/>
              <w:spacing w:before="0" w:after="0" w:line="240" w:lineRule="auto"/>
              <w:jc w:val="center"/>
            </w:pPr>
            <w:r>
              <w:rPr>
                <w:rFonts w:ascii="宋体" w:hAnsi="宋体" w:eastAsia="宋体"/>
                <w:b w:val="0"/>
                <w:i w:val="0"/>
                <w:sz w:val="18"/>
              </w:rPr>
              <w:t>发放教学科研创新性成果工作绩效个人奖励数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E321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87CA5">
            <w:pPr>
              <w:keepNext/>
              <w:spacing w:before="0" w:after="0" w:line="240" w:lineRule="auto"/>
              <w:jc w:val="center"/>
            </w:pPr>
            <w:r>
              <w:rPr>
                <w:rFonts w:ascii="宋体" w:hAnsi="宋体" w:eastAsia="宋体"/>
                <w:b w:val="0"/>
                <w:i w:val="0"/>
                <w:sz w:val="18"/>
              </w:rPr>
              <w:t>&gt;=450人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29EED">
            <w:pPr>
              <w:keepNext/>
              <w:spacing w:before="0" w:after="0" w:line="240" w:lineRule="auto"/>
              <w:jc w:val="center"/>
            </w:pPr>
            <w:r>
              <w:rPr>
                <w:rFonts w:ascii="宋体" w:hAnsi="宋体" w:eastAsia="宋体"/>
                <w:b w:val="0"/>
                <w:i w:val="0"/>
                <w:sz w:val="18"/>
              </w:rPr>
              <w:t>=573人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490CC">
            <w:pPr>
              <w:keepNext/>
              <w:spacing w:before="0" w:after="0" w:line="240" w:lineRule="auto"/>
              <w:jc w:val="center"/>
            </w:pPr>
            <w:r>
              <w:rPr>
                <w:rFonts w:ascii="宋体" w:hAnsi="宋体" w:eastAsia="宋体"/>
                <w:b w:val="0"/>
                <w:i w:val="0"/>
                <w:sz w:val="18"/>
              </w:rPr>
              <w:t>127%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66B3B">
            <w:pPr>
              <w:keepNext/>
              <w:spacing w:before="0" w:after="0" w:line="240" w:lineRule="auto"/>
              <w:jc w:val="center"/>
            </w:pPr>
            <w:r>
              <w:rPr>
                <w:rFonts w:ascii="宋体" w:hAnsi="宋体" w:eastAsia="宋体"/>
                <w:b w:val="0"/>
                <w:i w:val="0"/>
                <w:sz w:val="18"/>
              </w:rPr>
              <w:t>7.3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5A4E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86E1A">
            <w:pPr>
              <w:keepNext/>
              <w:spacing w:before="0" w:after="0" w:line="240" w:lineRule="auto"/>
              <w:jc w:val="center"/>
            </w:pPr>
            <w:r>
              <w:rPr>
                <w:rFonts w:ascii="宋体" w:hAnsi="宋体" w:eastAsia="宋体"/>
                <w:b w:val="0"/>
                <w:i w:val="0"/>
                <w:sz w:val="18"/>
              </w:rPr>
              <w:t>420人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2EC0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AD173">
            <w:pPr>
              <w:keepNext/>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DD99E">
            <w:pPr>
              <w:keepNext/>
              <w:spacing w:before="0" w:after="0" w:line="240" w:lineRule="auto"/>
              <w:jc w:val="center"/>
            </w:pPr>
            <w:r>
              <w:rPr>
                <w:rFonts w:ascii="宋体" w:hAnsi="宋体" w:eastAsia="宋体"/>
                <w:b w:val="0"/>
                <w:i w:val="0"/>
                <w:sz w:val="18"/>
              </w:rPr>
              <w:t>根据学校教学科研创新性成果认定，发放绩效奖励人数超过年初设定目标</w:t>
            </w:r>
          </w:p>
        </w:tc>
      </w:tr>
      <w:tr w14:paraId="1840D47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ACC96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752DB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EAC0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03C0A">
            <w:pPr>
              <w:keepNext/>
              <w:spacing w:before="0" w:after="0" w:line="240" w:lineRule="auto"/>
              <w:jc w:val="center"/>
            </w:pPr>
            <w:r>
              <w:rPr>
                <w:rFonts w:ascii="宋体" w:hAnsi="宋体" w:eastAsia="宋体"/>
                <w:b w:val="0"/>
                <w:i w:val="0"/>
                <w:sz w:val="18"/>
              </w:rPr>
              <w:t>引进具有博士学历学位及副高以上高层次人才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6E84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1E09D">
            <w:pPr>
              <w:keepNext/>
              <w:spacing w:before="0" w:after="0" w:line="240" w:lineRule="auto"/>
              <w:jc w:val="center"/>
            </w:pPr>
            <w:r>
              <w:rPr>
                <w:rFonts w:ascii="宋体" w:hAnsi="宋体" w:eastAsia="宋体"/>
                <w:b w:val="0"/>
                <w:i w:val="0"/>
                <w:sz w:val="18"/>
              </w:rPr>
              <w:t>&gt;=75人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E3093">
            <w:pPr>
              <w:keepNext/>
              <w:spacing w:before="0" w:after="0" w:line="240" w:lineRule="auto"/>
              <w:jc w:val="center"/>
            </w:pPr>
            <w:r>
              <w:rPr>
                <w:rFonts w:ascii="宋体" w:hAnsi="宋体" w:eastAsia="宋体"/>
                <w:b w:val="0"/>
                <w:i w:val="0"/>
                <w:sz w:val="18"/>
              </w:rPr>
              <w:t>=79人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26E46">
            <w:pPr>
              <w:keepNext/>
              <w:spacing w:before="0" w:after="0" w:line="240" w:lineRule="auto"/>
              <w:jc w:val="center"/>
            </w:pPr>
            <w:r>
              <w:rPr>
                <w:rFonts w:ascii="宋体" w:hAnsi="宋体" w:eastAsia="宋体"/>
                <w:b w:val="0"/>
                <w:i w:val="0"/>
                <w:sz w:val="18"/>
              </w:rPr>
              <w:t>105%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1DCCC">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25A6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4B4A8">
            <w:pPr>
              <w:keepNext/>
              <w:spacing w:before="0" w:after="0" w:line="240" w:lineRule="auto"/>
              <w:jc w:val="center"/>
            </w:pPr>
            <w:r>
              <w:rPr>
                <w:rFonts w:ascii="宋体" w:hAnsi="宋体" w:eastAsia="宋体"/>
                <w:b w:val="0"/>
                <w:i w:val="0"/>
                <w:sz w:val="18"/>
              </w:rPr>
              <w:t>109人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2242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3FB4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078E4">
            <w:pPr>
              <w:keepNext/>
              <w:spacing w:before="0" w:after="0" w:line="240" w:lineRule="auto"/>
              <w:jc w:val="center"/>
            </w:pPr>
            <w:r>
              <w:rPr>
                <w:rFonts w:ascii="宋体" w:hAnsi="宋体" w:eastAsia="宋体"/>
                <w:b w:val="0"/>
                <w:i w:val="0"/>
                <w:sz w:val="18"/>
              </w:rPr>
              <w:t>根据学校实际需求引进人才，超过年初设定目标</w:t>
            </w:r>
          </w:p>
        </w:tc>
      </w:tr>
      <w:tr w14:paraId="42A8910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D690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213B6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D11A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38879">
            <w:pPr>
              <w:keepNext/>
              <w:spacing w:before="0" w:after="0" w:line="240" w:lineRule="auto"/>
              <w:jc w:val="center"/>
            </w:pPr>
            <w:r>
              <w:rPr>
                <w:rFonts w:ascii="宋体" w:hAnsi="宋体" w:eastAsia="宋体"/>
                <w:b w:val="0"/>
                <w:i w:val="0"/>
                <w:sz w:val="18"/>
              </w:rPr>
              <w:t>采购设备验收合格率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800F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E006E">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C2EDC">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C31D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30AC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B1EF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46EA4">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CFA4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F9D3C">
            <w:pPr>
              <w:keepNext/>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766A0">
            <w:pPr>
              <w:keepNext/>
              <w:spacing w:before="0" w:after="0" w:line="240" w:lineRule="auto"/>
              <w:jc w:val="center"/>
            </w:pPr>
          </w:p>
        </w:tc>
      </w:tr>
      <w:tr w14:paraId="1CAC20A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A8707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559DB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FCB95">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6B66E">
            <w:pPr>
              <w:keepNext/>
              <w:spacing w:before="0" w:after="0" w:line="240" w:lineRule="auto"/>
              <w:jc w:val="center"/>
            </w:pPr>
            <w:r>
              <w:rPr>
                <w:rFonts w:ascii="宋体" w:hAnsi="宋体" w:eastAsia="宋体"/>
                <w:b w:val="0"/>
                <w:i w:val="0"/>
                <w:sz w:val="18"/>
              </w:rPr>
              <w:t>维修项目验收合格率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B4D7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A2826">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42789">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F62B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F3BB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9313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265ED">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F43B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ED09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97A5C">
            <w:pPr>
              <w:keepNext/>
              <w:spacing w:before="0" w:after="0" w:line="240" w:lineRule="auto"/>
              <w:jc w:val="center"/>
            </w:pPr>
          </w:p>
        </w:tc>
      </w:tr>
      <w:tr w14:paraId="3ABD683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2F4B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9EA3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F5C1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DC19B">
            <w:pPr>
              <w:spacing w:before="0" w:after="0" w:line="240" w:lineRule="auto"/>
              <w:jc w:val="center"/>
            </w:pPr>
            <w:r>
              <w:rPr>
                <w:rFonts w:ascii="宋体" w:hAnsi="宋体" w:eastAsia="宋体"/>
                <w:b w:val="0"/>
                <w:i w:val="0"/>
                <w:sz w:val="18"/>
              </w:rPr>
              <w:t>外聘工资每月发放时间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E4AA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979AC">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02E27">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21B5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1317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DC0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080C0">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B601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6425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ACF44">
            <w:pPr>
              <w:spacing w:before="0" w:after="0" w:line="240" w:lineRule="auto"/>
              <w:jc w:val="center"/>
            </w:pPr>
          </w:p>
        </w:tc>
      </w:tr>
      <w:tr w14:paraId="387074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06F92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5452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C219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45004">
            <w:pPr>
              <w:spacing w:before="0" w:after="0" w:line="240" w:lineRule="auto"/>
              <w:jc w:val="center"/>
            </w:pPr>
            <w:r>
              <w:rPr>
                <w:rFonts w:ascii="宋体" w:hAnsi="宋体" w:eastAsia="宋体"/>
                <w:b w:val="0"/>
                <w:i w:val="0"/>
                <w:sz w:val="18"/>
              </w:rPr>
              <w:t>外聘应发工资每月发放标准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7719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169CA">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28C39">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6658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59C3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8EFD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FA9AF">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589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977D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5E294">
            <w:pPr>
              <w:spacing w:before="0" w:after="0" w:line="240" w:lineRule="auto"/>
              <w:jc w:val="center"/>
            </w:pPr>
          </w:p>
        </w:tc>
      </w:tr>
      <w:tr w14:paraId="58F3B08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77F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AD5B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7963E">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AB943">
            <w:pPr>
              <w:spacing w:before="0" w:after="0" w:line="240" w:lineRule="auto"/>
              <w:jc w:val="center"/>
            </w:pPr>
            <w:r>
              <w:rPr>
                <w:rFonts w:ascii="宋体" w:hAnsi="宋体" w:eastAsia="宋体"/>
                <w:b w:val="0"/>
                <w:i w:val="0"/>
                <w:sz w:val="18"/>
              </w:rPr>
              <w:t>改善学校的办学条件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5E57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AFCEF">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E2E83">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5DF3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6F5A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90EF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3BE29">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F98D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5F45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CB720">
            <w:pPr>
              <w:spacing w:before="0" w:after="0" w:line="240" w:lineRule="auto"/>
              <w:jc w:val="center"/>
            </w:pPr>
          </w:p>
        </w:tc>
      </w:tr>
      <w:tr w14:paraId="6C451A9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3C499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F0249">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FB12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F0C0F">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34A0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4B5A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AC97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85E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15FC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008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FE4F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2885E">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5C31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5A73B">
            <w:pPr>
              <w:spacing w:before="0" w:after="0" w:line="240" w:lineRule="auto"/>
              <w:jc w:val="center"/>
            </w:pPr>
          </w:p>
        </w:tc>
      </w:tr>
      <w:tr w14:paraId="38220EF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16B8F0">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1AEA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E30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667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39C4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5BCDA">
            <w:pPr>
              <w:spacing w:before="0" w:after="0" w:line="240" w:lineRule="auto"/>
              <w:jc w:val="center"/>
            </w:pPr>
            <w:r>
              <w:rPr>
                <w:rFonts w:ascii="宋体" w:hAnsi="宋体" w:eastAsia="宋体"/>
                <w:b w:val="0"/>
                <w:i w:val="0"/>
                <w:sz w:val="18"/>
              </w:rPr>
              <w:t>92.29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67B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778F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1D64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653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BA97B">
            <w:pPr>
              <w:spacing w:before="0" w:after="0" w:line="240" w:lineRule="auto"/>
              <w:jc w:val="center"/>
            </w:pPr>
          </w:p>
        </w:tc>
      </w:tr>
    </w:tbl>
    <w:p w14:paraId="33171D2B">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AE7E7F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B3DB64">
            <w:pPr>
              <w:spacing w:before="0" w:after="0" w:line="240" w:lineRule="auto"/>
              <w:jc w:val="center"/>
            </w:pPr>
            <w:r>
              <w:rPr>
                <w:rFonts w:ascii="宋体" w:hAnsi="宋体" w:eastAsia="宋体"/>
                <w:b/>
                <w:i w:val="0"/>
                <w:sz w:val="32"/>
              </w:rPr>
              <w:t>项目支出绩效自评表</w:t>
            </w:r>
          </w:p>
        </w:tc>
      </w:tr>
      <w:tr w14:paraId="4BE3CA2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1AEA53">
            <w:pPr>
              <w:spacing w:before="0" w:after="0" w:line="240" w:lineRule="auto"/>
              <w:jc w:val="center"/>
            </w:pPr>
            <w:r>
              <w:rPr>
                <w:rFonts w:ascii="宋体" w:hAnsi="宋体" w:eastAsia="宋体"/>
                <w:b w:val="0"/>
                <w:i w:val="0"/>
                <w:sz w:val="22"/>
              </w:rPr>
              <w:t>(2025年度)</w:t>
            </w:r>
          </w:p>
        </w:tc>
      </w:tr>
      <w:tr w14:paraId="38A00D6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8C8F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F5DB1FB">
            <w:pPr>
              <w:spacing w:before="0" w:after="0" w:line="240" w:lineRule="auto"/>
              <w:jc w:val="center"/>
            </w:pPr>
            <w:r>
              <w:rPr>
                <w:rFonts w:ascii="宋体" w:hAnsi="宋体" w:eastAsia="宋体"/>
                <w:b w:val="0"/>
                <w:i w:val="0"/>
                <w:sz w:val="18"/>
              </w:rPr>
              <w:t>新疆农业大学标本馆建设等4个项目</w:t>
            </w:r>
          </w:p>
        </w:tc>
      </w:tr>
      <w:tr w14:paraId="17FB6B1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F777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C280A6">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50AE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686A3">
            <w:pPr>
              <w:spacing w:before="0" w:after="0" w:line="240" w:lineRule="auto"/>
              <w:jc w:val="center"/>
            </w:pPr>
            <w:r>
              <w:rPr>
                <w:rFonts w:ascii="宋体" w:hAnsi="宋体" w:eastAsia="宋体"/>
                <w:b w:val="0"/>
                <w:i w:val="0"/>
                <w:sz w:val="18"/>
              </w:rPr>
              <w:t>新疆农业大学（本级）</w:t>
            </w:r>
          </w:p>
        </w:tc>
      </w:tr>
      <w:tr w14:paraId="0867A6A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A0E9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1EF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BC03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9109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0670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B9A4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BC8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12B88">
            <w:pPr>
              <w:spacing w:before="0" w:after="0" w:line="240" w:lineRule="auto"/>
              <w:jc w:val="center"/>
            </w:pPr>
            <w:r>
              <w:rPr>
                <w:rFonts w:ascii="宋体" w:hAnsi="宋体" w:eastAsia="宋体"/>
                <w:b/>
                <w:i w:val="0"/>
                <w:sz w:val="18"/>
              </w:rPr>
              <w:t>得分</w:t>
            </w:r>
          </w:p>
        </w:tc>
      </w:tr>
      <w:tr w14:paraId="426C514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BB091D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C917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DB519">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201FE">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11657">
            <w:pPr>
              <w:spacing w:before="0" w:after="0" w:line="240" w:lineRule="auto"/>
              <w:jc w:val="center"/>
            </w:pPr>
            <w:r>
              <w:rPr>
                <w:rFonts w:ascii="宋体" w:hAnsi="宋体" w:eastAsia="宋体"/>
                <w:b w:val="0"/>
                <w:i w:val="0"/>
                <w:sz w:val="18"/>
              </w:rPr>
              <w:t>4,014.33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64BBC">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A8AEF">
            <w:pPr>
              <w:spacing w:before="0" w:after="0" w:line="240" w:lineRule="auto"/>
              <w:jc w:val="center"/>
            </w:pPr>
            <w:r>
              <w:rPr>
                <w:rFonts w:ascii="宋体" w:hAnsi="宋体" w:eastAsia="宋体"/>
                <w:b w:val="0"/>
                <w:i w:val="0"/>
                <w:sz w:val="18"/>
              </w:rPr>
              <w:t>77.49%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44E2E">
            <w:pPr>
              <w:spacing w:before="0" w:after="0" w:line="240" w:lineRule="auto"/>
              <w:jc w:val="center"/>
            </w:pPr>
            <w:r>
              <w:rPr>
                <w:rFonts w:ascii="宋体" w:hAnsi="宋体" w:eastAsia="宋体"/>
                <w:b w:val="0"/>
                <w:i w:val="0"/>
                <w:sz w:val="18"/>
              </w:rPr>
              <w:t>4.37</w:t>
            </w:r>
          </w:p>
        </w:tc>
      </w:tr>
      <w:tr w14:paraId="615134B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619E2B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B30D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EE8BD">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59F62">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F0F9">
            <w:pPr>
              <w:spacing w:before="0" w:after="0" w:line="240" w:lineRule="auto"/>
              <w:jc w:val="center"/>
            </w:pPr>
            <w:r>
              <w:rPr>
                <w:rFonts w:ascii="宋体" w:hAnsi="宋体" w:eastAsia="宋体"/>
                <w:b w:val="0"/>
                <w:i w:val="0"/>
                <w:sz w:val="18"/>
              </w:rPr>
              <w:t>4,014.33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831C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8EAA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C2E1F">
            <w:pPr>
              <w:spacing w:before="0" w:after="0" w:line="240" w:lineRule="auto"/>
              <w:jc w:val="center"/>
            </w:pPr>
            <w:r>
              <w:rPr>
                <w:rFonts w:ascii="宋体" w:hAnsi="宋体" w:eastAsia="宋体"/>
                <w:b w:val="0"/>
                <w:i w:val="0"/>
                <w:sz w:val="18"/>
              </w:rPr>
              <w:t>—</w:t>
            </w:r>
          </w:p>
        </w:tc>
      </w:tr>
      <w:tr w14:paraId="142054A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E960D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7EE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AABA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DC1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E2E7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540B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F19A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016E4">
            <w:pPr>
              <w:spacing w:before="0" w:after="0" w:line="240" w:lineRule="auto"/>
              <w:jc w:val="center"/>
            </w:pPr>
            <w:r>
              <w:rPr>
                <w:rFonts w:ascii="宋体" w:hAnsi="宋体" w:eastAsia="宋体"/>
                <w:b w:val="0"/>
                <w:i w:val="0"/>
                <w:sz w:val="18"/>
              </w:rPr>
              <w:t>—</w:t>
            </w:r>
          </w:p>
        </w:tc>
      </w:tr>
      <w:tr w14:paraId="71AE49A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AE0C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B8038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EB69A">
            <w:pPr>
              <w:spacing w:before="0" w:after="0" w:line="240" w:lineRule="auto"/>
              <w:jc w:val="center"/>
            </w:pPr>
            <w:r>
              <w:rPr>
                <w:rFonts w:ascii="宋体" w:hAnsi="宋体" w:eastAsia="宋体"/>
                <w:b/>
                <w:i w:val="0"/>
                <w:sz w:val="18"/>
              </w:rPr>
              <w:t>实际完成情况</w:t>
            </w:r>
          </w:p>
        </w:tc>
      </w:tr>
      <w:tr w14:paraId="6E75D37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7758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821067">
            <w:pPr>
              <w:spacing w:before="0" w:after="0" w:line="240" w:lineRule="auto"/>
              <w:jc w:val="center"/>
            </w:pPr>
            <w:r>
              <w:rPr>
                <w:rFonts w:ascii="宋体" w:hAnsi="宋体" w:eastAsia="宋体"/>
                <w:b w:val="0"/>
                <w:i w:val="0"/>
                <w:sz w:val="18"/>
              </w:rPr>
              <w:t>目标1：种质资源保护、利用、育种创新能力明显提高；
目标2：建设特色油料作物（油莎豆）全程机械化科研基地；
目标3：完成水资源高效利用新疆实验室前期建设；
目标4：建设新疆农业大学标本馆。
该4项结转项目资金旨在推动</w:t>
            </w:r>
            <w:r>
              <w:rPr>
                <w:rFonts w:hint="eastAsia" w:ascii="宋体" w:hAnsi="宋体"/>
                <w:b w:val="0"/>
                <w:i w:val="0"/>
                <w:sz w:val="18"/>
                <w:lang w:eastAsia="zh-CN"/>
              </w:rPr>
              <w:t>学校</w:t>
            </w:r>
            <w:r>
              <w:rPr>
                <w:rFonts w:ascii="宋体" w:hAnsi="宋体" w:eastAsia="宋体"/>
                <w:b w:val="0"/>
                <w:i w:val="0"/>
                <w:sz w:val="18"/>
              </w:rPr>
              <w:t>学科建设与农业科研发展，助力地区农业产业升级，为新疆农业服务。</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EA38A">
            <w:pPr>
              <w:spacing w:before="0" w:after="0" w:line="240" w:lineRule="auto"/>
              <w:jc w:val="center"/>
            </w:pPr>
            <w:r>
              <w:rPr>
                <w:rFonts w:ascii="宋体" w:hAnsi="宋体" w:eastAsia="宋体"/>
                <w:b w:val="0"/>
                <w:i w:val="0"/>
                <w:sz w:val="18"/>
              </w:rPr>
              <w:t>目标1：种质资源保护、利用、育种创新能力明显提高； 目标2：建设特色油料作物（油莎豆）全程机械化科研基地； 目标3：完成水资源高效利用新疆实验室前期建设； 目标4：建设新疆农业大学标本馆。 该4项结转项目资金旨在推动</w:t>
            </w:r>
            <w:r>
              <w:rPr>
                <w:rFonts w:hint="eastAsia" w:ascii="宋体" w:hAnsi="宋体"/>
                <w:b w:val="0"/>
                <w:i w:val="0"/>
                <w:sz w:val="18"/>
                <w:lang w:eastAsia="zh-CN"/>
              </w:rPr>
              <w:t>学校</w:t>
            </w:r>
            <w:r>
              <w:rPr>
                <w:rFonts w:ascii="宋体" w:hAnsi="宋体" w:eastAsia="宋体"/>
                <w:b w:val="0"/>
                <w:i w:val="0"/>
                <w:sz w:val="18"/>
              </w:rPr>
              <w:t>学科建设与农业科研发展，助力地区农业产业升级，为新疆农业服务。</w:t>
            </w:r>
          </w:p>
        </w:tc>
      </w:tr>
      <w:tr w14:paraId="7453364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00B58">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8ABCF">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1532C">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1D55C">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60DCC">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3806D">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210CC">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EC48A">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832F1">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C2DC3">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83038">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587D0">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E6466">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621FF">
            <w:pPr>
              <w:keepNext/>
              <w:spacing w:before="0" w:after="0" w:line="240" w:lineRule="auto"/>
              <w:jc w:val="center"/>
            </w:pPr>
            <w:r>
              <w:rPr>
                <w:rFonts w:ascii="宋体" w:hAnsi="宋体" w:eastAsia="宋体"/>
                <w:b/>
                <w:i w:val="0"/>
                <w:sz w:val="18"/>
              </w:rPr>
              <w:t>偏差原因分析及改进措施</w:t>
            </w:r>
          </w:p>
        </w:tc>
      </w:tr>
      <w:tr w14:paraId="79F80C5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66D9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D39A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32D6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860A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8143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0E2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0BE4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9D94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A0DE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9BEF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8E8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3A14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1B44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8DF6AA"/>
        </w:tc>
      </w:tr>
      <w:tr w14:paraId="3E41865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7C88E">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D6683">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4E5D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C8626">
            <w:pPr>
              <w:keepNext/>
              <w:spacing w:before="0" w:after="0" w:line="240" w:lineRule="auto"/>
              <w:jc w:val="center"/>
            </w:pPr>
            <w:r>
              <w:rPr>
                <w:rFonts w:ascii="宋体" w:hAnsi="宋体" w:eastAsia="宋体"/>
                <w:b w:val="0"/>
                <w:i w:val="0"/>
                <w:sz w:val="18"/>
              </w:rPr>
              <w:t>建设项目个数（含续建）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07AE3">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67102">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308D5">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BB78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319AD">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6A24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AAC3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6C0F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2DD6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B1A1A">
            <w:pPr>
              <w:keepNext/>
              <w:spacing w:before="0" w:after="0" w:line="240" w:lineRule="auto"/>
              <w:jc w:val="center"/>
            </w:pPr>
          </w:p>
        </w:tc>
      </w:tr>
      <w:tr w14:paraId="1EA289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DD002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56897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2869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EFBA0">
            <w:pPr>
              <w:keepNext/>
              <w:spacing w:before="0" w:after="0" w:line="240" w:lineRule="auto"/>
              <w:jc w:val="center"/>
            </w:pPr>
            <w:r>
              <w:rPr>
                <w:rFonts w:ascii="宋体" w:hAnsi="宋体" w:eastAsia="宋体"/>
                <w:b w:val="0"/>
                <w:i w:val="0"/>
                <w:sz w:val="18"/>
              </w:rPr>
              <w:t>计划采购仪器设备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2D51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80703">
            <w:pPr>
              <w:keepNext/>
              <w:spacing w:before="0" w:after="0" w:line="240" w:lineRule="auto"/>
              <w:jc w:val="center"/>
            </w:pPr>
            <w:r>
              <w:rPr>
                <w:rFonts w:ascii="宋体" w:hAnsi="宋体" w:eastAsia="宋体"/>
                <w:b w:val="0"/>
                <w:i w:val="0"/>
                <w:sz w:val="18"/>
              </w:rPr>
              <w:t>=34台（套）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F433D">
            <w:pPr>
              <w:keepNext/>
              <w:spacing w:before="0" w:after="0" w:line="240" w:lineRule="auto"/>
              <w:jc w:val="center"/>
            </w:pPr>
            <w:r>
              <w:rPr>
                <w:rFonts w:ascii="宋体" w:hAnsi="宋体" w:eastAsia="宋体"/>
                <w:b w:val="0"/>
                <w:i w:val="0"/>
                <w:sz w:val="18"/>
              </w:rPr>
              <w:t>34台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3D12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912DF">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21C0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4C8E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4EA8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0655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82EF0">
            <w:pPr>
              <w:keepNext/>
              <w:spacing w:before="0" w:after="0" w:line="240" w:lineRule="auto"/>
              <w:jc w:val="center"/>
            </w:pPr>
          </w:p>
        </w:tc>
      </w:tr>
      <w:tr w14:paraId="6045E6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C7CC1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27BBD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0D2D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37E21">
            <w:pPr>
              <w:keepNext/>
              <w:spacing w:before="0" w:after="0" w:line="240" w:lineRule="auto"/>
              <w:jc w:val="center"/>
            </w:pPr>
            <w:r>
              <w:rPr>
                <w:rFonts w:ascii="宋体" w:hAnsi="宋体" w:eastAsia="宋体"/>
                <w:b w:val="0"/>
                <w:i w:val="0"/>
                <w:sz w:val="18"/>
              </w:rPr>
              <w:t>工程竣工验收合格率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6BD84">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AD7B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2A97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50C9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56029">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DF9F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377F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3772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2A36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5E959">
            <w:pPr>
              <w:keepNext/>
              <w:spacing w:before="0" w:after="0" w:line="240" w:lineRule="auto"/>
              <w:jc w:val="center"/>
            </w:pPr>
          </w:p>
        </w:tc>
      </w:tr>
      <w:tr w14:paraId="79C09ED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220B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4C6FB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0A5F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3C42F">
            <w:pPr>
              <w:spacing w:before="0" w:after="0" w:line="240" w:lineRule="auto"/>
              <w:jc w:val="center"/>
            </w:pPr>
            <w:r>
              <w:rPr>
                <w:rFonts w:ascii="宋体" w:hAnsi="宋体" w:eastAsia="宋体"/>
                <w:b w:val="0"/>
                <w:i w:val="0"/>
                <w:sz w:val="18"/>
              </w:rPr>
              <w:t>完成年度投资计划和建设任务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B7057">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A579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36E8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C466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4D196">
            <w:pPr>
              <w:spacing w:before="0" w:after="0" w:line="240" w:lineRule="auto"/>
              <w:jc w:val="center"/>
            </w:pPr>
            <w:r>
              <w:rPr>
                <w:rFonts w:ascii="宋体" w:hAnsi="宋体" w:eastAsia="宋体"/>
                <w:b w:val="0"/>
                <w:i w:val="0"/>
                <w:sz w:val="18"/>
              </w:rPr>
              <w:t>11.25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2585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AD9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0AE1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D71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67212">
            <w:pPr>
              <w:spacing w:before="0" w:after="0" w:line="240" w:lineRule="auto"/>
              <w:jc w:val="center"/>
            </w:pPr>
            <w:r>
              <w:rPr>
                <w:rFonts w:ascii="宋体" w:hAnsi="宋体" w:eastAsia="宋体"/>
                <w:b w:val="0"/>
                <w:i w:val="0"/>
                <w:sz w:val="18"/>
              </w:rPr>
              <w:t>因标本馆项目招标公司施工进度较慢，暂未完工，影响项目建设进度。</w:t>
            </w:r>
          </w:p>
        </w:tc>
      </w:tr>
      <w:tr w14:paraId="40213C8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828F93">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48453">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D5996">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AAD2B">
            <w:pPr>
              <w:keepNext/>
              <w:spacing w:before="0" w:after="0" w:line="240" w:lineRule="auto"/>
              <w:jc w:val="center"/>
            </w:pPr>
            <w:r>
              <w:rPr>
                <w:rFonts w:ascii="宋体" w:hAnsi="宋体" w:eastAsia="宋体"/>
                <w:b w:val="0"/>
                <w:i w:val="0"/>
                <w:sz w:val="18"/>
              </w:rPr>
              <w:t>动植物病虫</w:t>
            </w:r>
            <w:r>
              <w:rPr>
                <w:rFonts w:hint="eastAsia" w:ascii="宋体" w:hAnsi="宋体"/>
                <w:b w:val="0"/>
                <w:i w:val="0"/>
                <w:sz w:val="18"/>
                <w:lang w:eastAsia="zh-CN"/>
              </w:rPr>
              <w:t>YQ</w:t>
            </w:r>
            <w:r>
              <w:rPr>
                <w:rFonts w:ascii="宋体" w:hAnsi="宋体" w:eastAsia="宋体"/>
                <w:b w:val="0"/>
                <w:i w:val="0"/>
                <w:sz w:val="18"/>
              </w:rPr>
              <w:t>防控能力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12DA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78481">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489D6">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3B76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AAF2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903E1">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9472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D1A17">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B4B2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9D0F6">
            <w:pPr>
              <w:keepNext/>
              <w:spacing w:before="0" w:after="0" w:line="240" w:lineRule="auto"/>
              <w:jc w:val="center"/>
            </w:pPr>
          </w:p>
        </w:tc>
      </w:tr>
      <w:tr w14:paraId="589CAD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70D5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E7937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EFE9A">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DC26E">
            <w:pPr>
              <w:spacing w:before="0" w:after="0" w:line="240" w:lineRule="auto"/>
              <w:jc w:val="center"/>
            </w:pPr>
            <w:r>
              <w:rPr>
                <w:rFonts w:ascii="宋体" w:hAnsi="宋体" w:eastAsia="宋体"/>
                <w:b w:val="0"/>
                <w:i w:val="0"/>
                <w:sz w:val="18"/>
              </w:rPr>
              <w:t>农业投入品利用率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4D8B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F4FF5">
            <w:pPr>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B9E39">
            <w:pPr>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BB4F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5AFE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D2749">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25DE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1037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41F6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69FA7">
            <w:pPr>
              <w:spacing w:before="0" w:after="0" w:line="240" w:lineRule="auto"/>
              <w:jc w:val="center"/>
            </w:pPr>
          </w:p>
        </w:tc>
      </w:tr>
      <w:tr w14:paraId="555E7F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204D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33FE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046E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001A8">
            <w:pPr>
              <w:spacing w:before="0" w:after="0" w:line="240" w:lineRule="auto"/>
              <w:jc w:val="center"/>
            </w:pPr>
            <w:r>
              <w:rPr>
                <w:rFonts w:ascii="宋体" w:hAnsi="宋体" w:eastAsia="宋体"/>
                <w:b w:val="0"/>
                <w:i w:val="0"/>
                <w:sz w:val="18"/>
              </w:rPr>
              <w:t>受益群众和机构满意度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E73C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DC1F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6AE1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960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4F05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5C898">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C0C9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5CAA6">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78A2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3C5FC">
            <w:pPr>
              <w:spacing w:before="0" w:after="0" w:line="240" w:lineRule="auto"/>
              <w:jc w:val="center"/>
            </w:pPr>
          </w:p>
        </w:tc>
      </w:tr>
      <w:tr w14:paraId="7BF21CC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07F2BC">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625B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17AD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B82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DAA3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DA584">
            <w:pPr>
              <w:spacing w:before="0" w:after="0" w:line="240" w:lineRule="auto"/>
              <w:jc w:val="center"/>
            </w:pPr>
            <w:r>
              <w:rPr>
                <w:rFonts w:ascii="宋体" w:hAnsi="宋体" w:eastAsia="宋体"/>
                <w:b w:val="0"/>
                <w:i w:val="0"/>
                <w:sz w:val="18"/>
              </w:rPr>
              <w:t>90.62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5AF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C4C5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BB11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013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A4765">
            <w:pPr>
              <w:spacing w:before="0" w:after="0" w:line="240" w:lineRule="auto"/>
              <w:jc w:val="center"/>
            </w:pPr>
          </w:p>
        </w:tc>
      </w:tr>
    </w:tbl>
    <w:p w14:paraId="58EB78A1">
      <w:r>
        <w:br w:type="page"/>
      </w:r>
    </w:p>
    <w:p w14:paraId="522A4EBD">
      <w:pPr>
        <w:sectPr>
          <w:type w:val="continuous"/>
          <w:pgSz w:w="11906" w:h="16838"/>
          <w:pgMar w:top="1440" w:right="1800" w:bottom="1440" w:left="1800" w:header="851" w:footer="992" w:gutter="0"/>
          <w:cols w:space="720" w:num="1"/>
          <w:docGrid w:type="lines" w:linePitch="312" w:charSpace="0"/>
        </w:sectPr>
      </w:pPr>
    </w:p>
    <w:p w14:paraId="6136098E">
      <w:pPr>
        <w:spacing w:line="640" w:lineRule="exact"/>
        <w:ind w:firstLine="640"/>
        <w:jc w:val="both"/>
        <w:outlineLvl w:val="2"/>
      </w:pPr>
      <w:r>
        <w:rPr>
          <w:rFonts w:ascii="黑体" w:hAnsi="黑体" w:eastAsia="黑体"/>
          <w:sz w:val="32"/>
        </w:rPr>
        <w:t>十二、其他需说明的事项</w:t>
      </w:r>
    </w:p>
    <w:p w14:paraId="434C2722">
      <w:pPr>
        <w:spacing w:line="580" w:lineRule="exact"/>
        <w:ind w:firstLine="640"/>
        <w:jc w:val="both"/>
      </w:pPr>
      <w:r>
        <w:rPr>
          <w:rFonts w:ascii="仿宋_GB2312" w:hAnsi="仿宋_GB2312" w:eastAsia="仿宋_GB2312"/>
          <w:b w:val="0"/>
          <w:sz w:val="32"/>
        </w:rPr>
        <w:t>本单位无其他需说明的事项。</w:t>
      </w:r>
    </w:p>
    <w:p w14:paraId="67BBA4FC">
      <w:r>
        <w:br w:type="page"/>
      </w:r>
    </w:p>
    <w:p w14:paraId="0521B812">
      <w:pPr>
        <w:spacing w:line="600" w:lineRule="exact"/>
        <w:jc w:val="center"/>
        <w:outlineLvl w:val="0"/>
      </w:pPr>
      <w:r>
        <w:rPr>
          <w:rFonts w:ascii="黑体" w:hAnsi="黑体" w:eastAsia="黑体"/>
          <w:sz w:val="32"/>
        </w:rPr>
        <w:t>第三部分 专业名词解释</w:t>
      </w:r>
    </w:p>
    <w:p w14:paraId="7446BD49">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749E337">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A1777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2CCF31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2C80BCB">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2D7E15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00793C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795C63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A6EE624">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8A1CA0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B9CDB5B">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F29B89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9A5BDF2">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BE0D67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F861D8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F436AF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BED33DA">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708C93E">
      <w:r>
        <w:br w:type="page"/>
      </w:r>
    </w:p>
    <w:p w14:paraId="795F34C1">
      <w:pPr>
        <w:spacing w:line="240" w:lineRule="auto"/>
        <w:jc w:val="center"/>
        <w:outlineLvl w:val="1"/>
      </w:pPr>
      <w:r>
        <w:rPr>
          <w:rFonts w:ascii="黑体" w:hAnsi="黑体" w:eastAsia="黑体"/>
          <w:sz w:val="32"/>
        </w:rPr>
        <w:t>第四部分 部门决算报表（见附表）</w:t>
      </w:r>
    </w:p>
    <w:p w14:paraId="50852B20">
      <w:pPr>
        <w:autoSpaceDE w:val="0"/>
        <w:autoSpaceDN w:val="0"/>
        <w:spacing w:line="600" w:lineRule="exact"/>
        <w:ind w:firstLine="640" w:firstLineChars="200"/>
      </w:pPr>
      <w:r>
        <w:rPr>
          <w:rFonts w:ascii="仿宋_GB2312" w:hAnsi="仿宋_GB2312" w:eastAsia="仿宋_GB2312"/>
          <w:b w:val="0"/>
          <w:sz w:val="32"/>
        </w:rPr>
        <w:t>一、《收入支出决算总表》</w:t>
      </w:r>
    </w:p>
    <w:p w14:paraId="52C23EF1">
      <w:pPr>
        <w:autoSpaceDE w:val="0"/>
        <w:autoSpaceDN w:val="0"/>
        <w:spacing w:line="600" w:lineRule="exact"/>
        <w:ind w:firstLine="640" w:firstLineChars="200"/>
      </w:pPr>
      <w:r>
        <w:rPr>
          <w:rFonts w:ascii="仿宋_GB2312" w:hAnsi="仿宋_GB2312" w:eastAsia="仿宋_GB2312"/>
          <w:b w:val="0"/>
          <w:sz w:val="32"/>
        </w:rPr>
        <w:t>二、《收入决算表》</w:t>
      </w:r>
    </w:p>
    <w:p w14:paraId="12683BCD">
      <w:pPr>
        <w:autoSpaceDE w:val="0"/>
        <w:autoSpaceDN w:val="0"/>
        <w:spacing w:line="600" w:lineRule="exact"/>
        <w:ind w:firstLine="640" w:firstLineChars="200"/>
      </w:pPr>
      <w:r>
        <w:rPr>
          <w:rFonts w:ascii="仿宋_GB2312" w:hAnsi="仿宋_GB2312" w:eastAsia="仿宋_GB2312"/>
          <w:b w:val="0"/>
          <w:sz w:val="32"/>
        </w:rPr>
        <w:t>三、《支出决算表》</w:t>
      </w:r>
    </w:p>
    <w:p w14:paraId="038C0C21">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71DC8D3">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5B93D4E">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FA6D449">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0E94728">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AC4CE91">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8678B2E">
      <w:pPr>
        <w:autoSpaceDE w:val="0"/>
        <w:autoSpaceDN w:val="0"/>
        <w:spacing w:line="600" w:lineRule="exact"/>
        <w:ind w:firstLine="640" w:firstLineChars="200"/>
      </w:pPr>
    </w:p>
    <w:p w14:paraId="0928145E">
      <w:pPr>
        <w:autoSpaceDE w:val="0"/>
        <w:autoSpaceDN w:val="0"/>
        <w:spacing w:line="600" w:lineRule="exact"/>
        <w:ind w:firstLine="640" w:firstLineChars="200"/>
      </w:pPr>
    </w:p>
    <w:p w14:paraId="18BE7655">
      <w:pPr>
        <w:autoSpaceDE w:val="0"/>
        <w:autoSpaceDN w:val="0"/>
        <w:spacing w:line="600" w:lineRule="exact"/>
        <w:ind w:firstLine="640" w:firstLineChars="200"/>
      </w:pPr>
    </w:p>
    <w:p w14:paraId="16EC389B">
      <w:pPr>
        <w:autoSpaceDE w:val="0"/>
        <w:autoSpaceDN w:val="0"/>
        <w:spacing w:line="600" w:lineRule="exact"/>
        <w:ind w:firstLine="640" w:firstLineChars="200"/>
      </w:pPr>
    </w:p>
    <w:p w14:paraId="2128A690">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1DACB4-E5C0-440F-961A-A4843A961C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6C9A8B4-E981-4AA2-80D3-7E854AB596C1}"/>
  </w:font>
  <w:font w:name="仿宋_GB2312">
    <w:panose1 w:val="02010609030101010101"/>
    <w:charset w:val="86"/>
    <w:family w:val="modern"/>
    <w:pitch w:val="default"/>
    <w:sig w:usb0="00000001" w:usb1="080E0000" w:usb2="00000000" w:usb3="00000000" w:csb0="00040000" w:csb1="00000000"/>
    <w:embedRegular r:id="rId3" w:fontKey="{62496859-DBC5-4465-8872-D69B24DFE82B}"/>
  </w:font>
  <w:font w:name="楷体_GB2312">
    <w:altName w:val="楷体"/>
    <w:panose1 w:val="00000000000000000000"/>
    <w:charset w:val="00"/>
    <w:family w:val="auto"/>
    <w:pitch w:val="default"/>
    <w:sig w:usb0="00000000" w:usb1="00000000" w:usb2="00000000" w:usb3="00000000" w:csb0="00000000" w:csb1="00000000"/>
    <w:embedRegular r:id="rId4" w:fontKey="{A4204BB3-C4B6-4A32-879A-122A7C1B98FB}"/>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AA4DA5"/>
    <w:rsid w:val="27CF2642"/>
    <w:rsid w:val="282459E2"/>
    <w:rsid w:val="2A053397"/>
    <w:rsid w:val="2A444FB1"/>
    <w:rsid w:val="2A6064E2"/>
    <w:rsid w:val="2ADE6251"/>
    <w:rsid w:val="2BA9200B"/>
    <w:rsid w:val="2D1136DF"/>
    <w:rsid w:val="2DAE0E44"/>
    <w:rsid w:val="2EB07E70"/>
    <w:rsid w:val="2F9E416C"/>
    <w:rsid w:val="2FD27414"/>
    <w:rsid w:val="313F1D52"/>
    <w:rsid w:val="318029AB"/>
    <w:rsid w:val="319D6C1C"/>
    <w:rsid w:val="31C63837"/>
    <w:rsid w:val="326F0A17"/>
    <w:rsid w:val="34623382"/>
    <w:rsid w:val="37D9033E"/>
    <w:rsid w:val="390019F4"/>
    <w:rsid w:val="3914510A"/>
    <w:rsid w:val="3A202EE6"/>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9b4a90dc-1b1f-4a23-a93e-da24e3237ab2</errorID>
      <errorWord>、梭</errorWord>
      <group>L1_Word</group>
      <groupName>字词问题</groupName>
      <ability>L2_Typo</ability>
      <abilityName>字词错误</abilityName>
      <candidateList>
        <item>、</item>
      </candidateList>
      <explain/>
      <paraID>65B17F8D</paraID>
      <start>435</start>
      <end>437</end>
      <status>ignored</status>
      <modifiedWord/>
      <trackRevisions>false</trackRevisions>
    </reviewItem>
    <reviewItem>
      <errorID>e830a78f-0eae-4acc-a216-9ba5451ee65e</errorID>
      <errorWord>藏粮于地藏粮于技</errorWord>
      <group>L1_Political</group>
      <groupName>政治性问题</groupName>
      <ability>L2_Keyword</ability>
      <abilityName>固定表述</abilityName>
      <candidateList>
        <item>藏粮于地、藏粮于技</item>
      </candidateList>
      <explain>注意检查当前固定表述标点是否使用规范。</explain>
      <paraID>754E52E8</paraID>
      <start>85</start>
      <end>93</end>
      <status>ignored</status>
      <modifiedWord/>
      <trackRevisions>false</trackRevisions>
    </reviewItem>
    <reviewItem>
      <errorID>04822d66-c17d-4724-9df6-f5e04336cfc9</errorID>
      <errorWord>小</errorWord>
      <group>L1_Word</group>
      <groupName>字词问题</groupName>
      <ability>L2_Typo</ability>
      <abilityName>字词错误</abilityName>
      <candidateList>
        <item>小学</item>
      </candidateList>
      <explain/>
      <paraID>6F72AA14</paraID>
      <start>79</start>
      <end>80</end>
      <status>ignored</status>
      <modifiedWord/>
      <trackRevisions>false</trackRevisions>
    </reviewItem>
    <reviewItem>
      <errorID>5329383a-f6c5-4741-81d7-fc5336f69499</errorID>
      <errorWord>小</errorWord>
      <group>L1_Word</group>
      <groupName>字词问题</groupName>
      <ability>L2_Typo</ability>
      <abilityName>字词错误</abilityName>
      <candidateList>
        <item>小学</item>
      </candidateList>
      <explain/>
      <paraID> 8C832B7</paraID>
      <start>71</start>
      <end>72</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4cb510-4ce3-4c3c-8154-071e5a16e2d8}">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11554</Words>
  <Characters>13192</Characters>
  <Lines>10</Lines>
  <Paragraphs>2</Paragraphs>
  <TotalTime>9</TotalTime>
  <ScaleCrop>false</ScaleCrop>
  <LinksUpToDate>false</LinksUpToDate>
  <CharactersWithSpaces>13209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2026-09-02T10:31:03Z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