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bookmarkStart w:id="0" w:name="_GoBack"/>
      <w:bookmarkEnd w:id="0"/>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新疆维吾尔自治区核酸检测中心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64883F51">
      <w:r>
        <w:br w:type="page"/>
      </w:r>
    </w:p>
    <w:p w14:paraId="379348AB">
      <w:pPr>
        <w:spacing w:line="640" w:lineRule="exact"/>
        <w:jc w:val="center"/>
        <w:outlineLvl w:val="1"/>
      </w:pPr>
      <w:r>
        <w:rPr>
          <w:rFonts w:ascii="黑体" w:hAnsi="黑体" w:eastAsia="黑体"/>
          <w:sz w:val="32"/>
        </w:rPr>
        <w:t>第一部分 单位概况</w:t>
      </w:r>
    </w:p>
    <w:p w14:paraId="0C52F129">
      <w:pPr>
        <w:spacing w:line="640" w:lineRule="exact"/>
        <w:ind w:firstLine="640"/>
        <w:jc w:val="both"/>
        <w:outlineLvl w:val="2"/>
      </w:pPr>
      <w:r>
        <w:rPr>
          <w:rFonts w:ascii="黑体" w:hAnsi="黑体" w:eastAsia="黑体"/>
          <w:sz w:val="32"/>
        </w:rPr>
        <w:t>一、主要职能</w:t>
      </w:r>
    </w:p>
    <w:p w14:paraId="223BC7C3">
      <w:pPr>
        <w:spacing w:line="580" w:lineRule="exact"/>
        <w:ind w:firstLine="640"/>
        <w:jc w:val="both"/>
      </w:pPr>
      <w:r>
        <w:rPr>
          <w:rFonts w:ascii="仿宋_GB2312" w:hAnsi="仿宋_GB2312" w:eastAsia="仿宋_GB2312"/>
          <w:sz w:val="32"/>
        </w:rPr>
        <w:t>新疆维吾尔自治区核酸检测中心（新疆医科大学PCR生物实验室）是新疆医科大学所属公益二类事业单位，主要承担核酸检测、数据分析、核酸检测培训，以及PCR生物实验室的运行、维护等工作，</w:t>
      </w:r>
      <w:r>
        <w:rPr>
          <w:rFonts w:hint="eastAsia" w:ascii="仿宋_GB2312" w:hAnsi="仿宋_GB2312" w:eastAsia="仿宋_GB2312"/>
          <w:sz w:val="32"/>
          <w:lang w:eastAsia="zh-CN"/>
        </w:rPr>
        <w:t>位</w:t>
      </w:r>
      <w:r>
        <w:rPr>
          <w:rFonts w:ascii="仿宋_GB2312" w:hAnsi="仿宋_GB2312" w:eastAsia="仿宋_GB2312"/>
          <w:sz w:val="32"/>
        </w:rPr>
        <w:t>于乌鲁木齐鲤鱼山南路新疆医科大学鲤鱼山校区，作为新疆维吾尔自治区大规模新型冠状病毒核酸检验实验室，自治区核酸检测中心为新疆应急处置能力提供了有力的技术支撑和防控保障。</w:t>
      </w:r>
    </w:p>
    <w:p w14:paraId="675DEA10">
      <w:pPr>
        <w:spacing w:line="640" w:lineRule="exact"/>
        <w:ind w:firstLine="640"/>
        <w:jc w:val="both"/>
        <w:outlineLvl w:val="2"/>
      </w:pPr>
      <w:r>
        <w:rPr>
          <w:rFonts w:ascii="黑体" w:hAnsi="黑体" w:eastAsia="黑体"/>
          <w:sz w:val="32"/>
        </w:rPr>
        <w:t>二、机构设置</w:t>
      </w:r>
    </w:p>
    <w:p w14:paraId="7CB8B31A">
      <w:pPr>
        <w:spacing w:line="580" w:lineRule="exact"/>
        <w:ind w:firstLine="640"/>
        <w:jc w:val="both"/>
      </w:pPr>
      <w:r>
        <w:rPr>
          <w:rFonts w:ascii="仿宋_GB2312" w:hAnsi="仿宋_GB2312" w:eastAsia="仿宋_GB2312"/>
          <w:sz w:val="32"/>
        </w:rPr>
        <w:t>新疆维吾尔自治区核酸检测中心无下属预算单位。</w:t>
      </w:r>
    </w:p>
    <w:p w14:paraId="466A601E">
      <w:r>
        <w:br w:type="page"/>
      </w:r>
    </w:p>
    <w:p w14:paraId="424D4B65">
      <w:pPr>
        <w:spacing w:line="240" w:lineRule="auto"/>
        <w:jc w:val="center"/>
        <w:outlineLvl w:val="1"/>
      </w:pPr>
      <w:r>
        <w:rPr>
          <w:rFonts w:ascii="黑体" w:hAnsi="黑体" w:eastAsia="黑体"/>
          <w:sz w:val="32"/>
        </w:rPr>
        <w:t>第二部分 部门决算情况说明</w:t>
      </w:r>
    </w:p>
    <w:p w14:paraId="680174EF">
      <w:pPr>
        <w:spacing w:line="640" w:lineRule="exact"/>
        <w:ind w:firstLine="640"/>
        <w:jc w:val="both"/>
        <w:outlineLvl w:val="2"/>
      </w:pPr>
      <w:r>
        <w:rPr>
          <w:rFonts w:ascii="黑体" w:hAnsi="黑体" w:eastAsia="黑体"/>
          <w:sz w:val="32"/>
        </w:rPr>
        <w:t>一、收入支出决算总体情况说明</w:t>
      </w:r>
    </w:p>
    <w:p w14:paraId="5B910595">
      <w:pPr>
        <w:spacing w:line="580" w:lineRule="exact"/>
        <w:ind w:firstLine="640"/>
        <w:jc w:val="both"/>
      </w:pPr>
      <w:r>
        <w:rPr>
          <w:rFonts w:ascii="仿宋_GB2312" w:hAnsi="仿宋_GB2312" w:eastAsia="仿宋_GB2312"/>
          <w:b/>
          <w:sz w:val="32"/>
        </w:rPr>
        <w:t>2025年度收入总计132.79万元，</w:t>
      </w:r>
      <w:r>
        <w:rPr>
          <w:rFonts w:ascii="仿宋_GB2312" w:hAnsi="仿宋_GB2312" w:eastAsia="仿宋_GB2312"/>
          <w:b w:val="0"/>
          <w:sz w:val="32"/>
        </w:rPr>
        <w:t>其中：本年收入合计132.79万元，使用非财政拨款结余（含专用结余）0.00万元，年初结转和结余0.00万元。</w:t>
      </w:r>
    </w:p>
    <w:p w14:paraId="0B4EFC51">
      <w:pPr>
        <w:spacing w:line="580" w:lineRule="exact"/>
        <w:ind w:firstLine="640"/>
        <w:jc w:val="both"/>
      </w:pPr>
      <w:r>
        <w:rPr>
          <w:rFonts w:ascii="仿宋_GB2312" w:hAnsi="仿宋_GB2312" w:eastAsia="仿宋_GB2312"/>
          <w:b/>
          <w:sz w:val="32"/>
        </w:rPr>
        <w:t>2025年度支出总计132.79万元，</w:t>
      </w:r>
      <w:r>
        <w:rPr>
          <w:rFonts w:ascii="仿宋_GB2312" w:hAnsi="仿宋_GB2312" w:eastAsia="仿宋_GB2312"/>
          <w:b w:val="0"/>
          <w:sz w:val="32"/>
        </w:rPr>
        <w:t>其中：本年支出合计132.79万元，结余分配0.00万元，年末结转和结余0.00万元。</w:t>
      </w:r>
    </w:p>
    <w:p w14:paraId="2CA1B643">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增加7.78万元，增长6.22%，主要原因是：本年在职人员工资调增，社保、公积金基数调增，人员经费增加。</w:t>
      </w:r>
    </w:p>
    <w:p w14:paraId="68FBC46C">
      <w:pPr>
        <w:spacing w:line="640" w:lineRule="exact"/>
        <w:ind w:firstLine="640"/>
        <w:jc w:val="both"/>
        <w:outlineLvl w:val="2"/>
      </w:pPr>
      <w:r>
        <w:rPr>
          <w:rFonts w:ascii="黑体" w:hAnsi="黑体" w:eastAsia="黑体"/>
          <w:sz w:val="32"/>
        </w:rPr>
        <w:t>二、收入决算情况说明</w:t>
      </w:r>
    </w:p>
    <w:p w14:paraId="6E47E585">
      <w:pPr>
        <w:spacing w:line="580" w:lineRule="exact"/>
        <w:ind w:firstLine="640"/>
        <w:jc w:val="both"/>
      </w:pPr>
      <w:r>
        <w:rPr>
          <w:rFonts w:ascii="仿宋_GB2312" w:hAnsi="仿宋_GB2312" w:eastAsia="仿宋_GB2312"/>
          <w:b/>
          <w:sz w:val="32"/>
        </w:rPr>
        <w:t>本年收入132.79万元，</w:t>
      </w:r>
      <w:r>
        <w:rPr>
          <w:rFonts w:ascii="仿宋_GB2312" w:hAnsi="仿宋_GB2312" w:eastAsia="仿宋_GB2312"/>
          <w:b w:val="0"/>
          <w:sz w:val="32"/>
        </w:rPr>
        <w:t>其中：财政拨款收入132.79万元，占100.00%；上级补助收入0.00万元，占0.00%；事业收入0.00万元，占0.00%；经营收入0.00万元，占0.00%；附属单位上缴收入0.00万元，占0.00%；其他收入0.00万元，占0.00%。</w:t>
      </w:r>
    </w:p>
    <w:p w14:paraId="584051CC">
      <w:pPr>
        <w:spacing w:line="640" w:lineRule="exact"/>
        <w:ind w:firstLine="640"/>
        <w:jc w:val="both"/>
        <w:outlineLvl w:val="2"/>
      </w:pPr>
      <w:r>
        <w:rPr>
          <w:rFonts w:ascii="黑体" w:hAnsi="黑体" w:eastAsia="黑体"/>
          <w:sz w:val="32"/>
        </w:rPr>
        <w:t>三、支出决算情况说明</w:t>
      </w:r>
    </w:p>
    <w:p w14:paraId="750C9963">
      <w:pPr>
        <w:spacing w:line="580" w:lineRule="exact"/>
        <w:ind w:firstLine="640"/>
        <w:jc w:val="both"/>
      </w:pPr>
      <w:r>
        <w:rPr>
          <w:rFonts w:ascii="仿宋_GB2312" w:hAnsi="仿宋_GB2312" w:eastAsia="仿宋_GB2312"/>
          <w:b/>
          <w:sz w:val="32"/>
        </w:rPr>
        <w:t>本年支出132.79万元，</w:t>
      </w:r>
      <w:r>
        <w:rPr>
          <w:rFonts w:ascii="仿宋_GB2312" w:hAnsi="仿宋_GB2312" w:eastAsia="仿宋_GB2312"/>
          <w:b w:val="0"/>
          <w:sz w:val="32"/>
        </w:rPr>
        <w:t>其中：基本支出132.79万元，占100.00%；项目支出0.00万元，占0.00%；上缴上级支出0.00万元，占0.00%；经营支出0.00万元，占0.00%；对附属单位补助支出0.00万元，占0.00%。</w:t>
      </w:r>
    </w:p>
    <w:p w14:paraId="449BC5D3">
      <w:pPr>
        <w:spacing w:line="640" w:lineRule="exact"/>
        <w:ind w:firstLine="640"/>
        <w:jc w:val="both"/>
        <w:outlineLvl w:val="2"/>
      </w:pPr>
      <w:r>
        <w:rPr>
          <w:rFonts w:ascii="黑体" w:hAnsi="黑体" w:eastAsia="黑体"/>
          <w:sz w:val="32"/>
        </w:rPr>
        <w:t>四、财政拨款收入支出决算总体情况说明</w:t>
      </w:r>
    </w:p>
    <w:p w14:paraId="77D4E94C">
      <w:pPr>
        <w:spacing w:line="580" w:lineRule="exact"/>
        <w:ind w:firstLine="640"/>
        <w:jc w:val="both"/>
      </w:pPr>
      <w:r>
        <w:rPr>
          <w:rFonts w:ascii="仿宋_GB2312" w:hAnsi="仿宋_GB2312" w:eastAsia="仿宋_GB2312"/>
          <w:b/>
          <w:sz w:val="32"/>
        </w:rPr>
        <w:t>2025年度财政拨款收入总计132.79万元，</w:t>
      </w:r>
      <w:r>
        <w:rPr>
          <w:rFonts w:ascii="仿宋_GB2312" w:hAnsi="仿宋_GB2312" w:eastAsia="仿宋_GB2312"/>
          <w:b w:val="0"/>
          <w:sz w:val="32"/>
        </w:rPr>
        <w:t>其中：年初财政拨款结转和结余0.00万元，本年财政拨款收入132.79万元。</w:t>
      </w:r>
      <w:r>
        <w:rPr>
          <w:rFonts w:ascii="仿宋_GB2312" w:hAnsi="仿宋_GB2312" w:eastAsia="仿宋_GB2312"/>
          <w:b/>
          <w:sz w:val="32"/>
        </w:rPr>
        <w:t>财政拨款支出总计132.79万元，</w:t>
      </w:r>
      <w:r>
        <w:rPr>
          <w:rFonts w:ascii="仿宋_GB2312" w:hAnsi="仿宋_GB2312" w:eastAsia="仿宋_GB2312"/>
          <w:b w:val="0"/>
          <w:sz w:val="32"/>
        </w:rPr>
        <w:t>其中：年末财政拨款结转和结余0.00万元，本年财政拨款支出132.79万元。</w:t>
      </w:r>
    </w:p>
    <w:p w14:paraId="3C78283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增加7.78万元，增长6.22%，主要原因是：本年在职人员工资调增，社保、公积金基数调增，人员经费增加。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年初预算数125.27万元，决算数132.79万元，预决算差异率6.00%，主要原因是：年中追加人员工资、社保、公积金基数调增部分资金，导致预决算存在差异。</w:t>
      </w:r>
    </w:p>
    <w:p w14:paraId="1C9046B0">
      <w:pPr>
        <w:spacing w:line="640" w:lineRule="exact"/>
        <w:ind w:firstLine="640"/>
        <w:jc w:val="both"/>
        <w:outlineLvl w:val="2"/>
      </w:pPr>
      <w:r>
        <w:rPr>
          <w:rFonts w:ascii="黑体" w:hAnsi="黑体" w:eastAsia="黑体"/>
          <w:sz w:val="32"/>
        </w:rPr>
        <w:t>五、一般公共预算财政拨款支出决算情况说明</w:t>
      </w:r>
    </w:p>
    <w:p w14:paraId="6E959191">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事业发展等重点支出，体现在有关支出科目中。</w:t>
      </w:r>
    </w:p>
    <w:p w14:paraId="291E97AA">
      <w:pPr>
        <w:spacing w:line="580" w:lineRule="exact"/>
        <w:ind w:firstLine="640"/>
        <w:jc w:val="both"/>
      </w:pPr>
      <w:r>
        <w:rPr>
          <w:rFonts w:ascii="仿宋_GB2312" w:hAnsi="仿宋_GB2312" w:eastAsia="仿宋_GB2312"/>
          <w:b w:val="0"/>
          <w:sz w:val="32"/>
        </w:rPr>
        <w:t>按照支出功能分类，教育支出（类）普通教育（款）高等教育（项）的支出占本年财政拨款支出总额的比重最高，2025年度决算数为132.79万元，占比100.00%，主要用于人员工资福利支出。</w:t>
      </w:r>
    </w:p>
    <w:p w14:paraId="1F30EE8F">
      <w:pPr>
        <w:spacing w:line="640" w:lineRule="exact"/>
        <w:ind w:firstLine="640"/>
        <w:jc w:val="both"/>
        <w:outlineLvl w:val="3"/>
      </w:pPr>
      <w:r>
        <w:rPr>
          <w:rFonts w:ascii="楷体_GB2312" w:hAnsi="楷体_GB2312" w:eastAsia="楷体_GB2312"/>
          <w:b/>
          <w:sz w:val="32"/>
        </w:rPr>
        <w:t>（一）一般公共预算财政拨款支出决算总体情况</w:t>
      </w:r>
    </w:p>
    <w:p w14:paraId="17AAB2ED">
      <w:pPr>
        <w:spacing w:line="580" w:lineRule="exact"/>
        <w:ind w:firstLine="640"/>
        <w:jc w:val="both"/>
      </w:pPr>
      <w:r>
        <w:rPr>
          <w:rFonts w:ascii="仿宋_GB2312" w:hAnsi="仿宋_GB2312" w:eastAsia="仿宋_GB2312"/>
          <w:b/>
          <w:sz w:val="32"/>
        </w:rPr>
        <w:t>2025年度一般公共预算财政拨款支出132.79万元，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增加7.78万元，增长6.22%，主要原因是：本年在职人员工资调增，社保、公积金基数调增，人员经费增加。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年初预算数125.27万元，决算数132.79万元，预决算差异率6.00%，主要原因是：年中追加人员工资、社保、公积金基数调增部分资金，导致预决算存在差异。</w:t>
      </w:r>
    </w:p>
    <w:p w14:paraId="0DB05BD3">
      <w:pPr>
        <w:spacing w:line="640" w:lineRule="exact"/>
        <w:ind w:firstLine="640"/>
        <w:jc w:val="both"/>
        <w:outlineLvl w:val="3"/>
      </w:pPr>
      <w:r>
        <w:rPr>
          <w:rFonts w:ascii="楷体_GB2312" w:hAnsi="楷体_GB2312" w:eastAsia="楷体_GB2312"/>
          <w:b/>
          <w:sz w:val="32"/>
        </w:rPr>
        <w:t>（二）一般公共预算财政拨款支出决算结构情况</w:t>
      </w:r>
    </w:p>
    <w:p w14:paraId="12898FA2">
      <w:pPr>
        <w:spacing w:line="580" w:lineRule="exact"/>
        <w:ind w:firstLine="640"/>
        <w:jc w:val="both"/>
      </w:pPr>
      <w:r>
        <w:rPr>
          <w:rFonts w:ascii="仿宋_GB2312" w:hAnsi="仿宋_GB2312" w:eastAsia="仿宋_GB2312"/>
          <w:b w:val="0"/>
          <w:sz w:val="32"/>
        </w:rPr>
        <w:t>1.教育支出（类）132.79万元，占100.00%。</w:t>
      </w:r>
    </w:p>
    <w:p w14:paraId="03974558">
      <w:pPr>
        <w:spacing w:line="640" w:lineRule="exact"/>
        <w:ind w:firstLine="640"/>
        <w:jc w:val="both"/>
        <w:outlineLvl w:val="3"/>
      </w:pPr>
      <w:r>
        <w:rPr>
          <w:rFonts w:ascii="楷体_GB2312" w:hAnsi="楷体_GB2312" w:eastAsia="楷体_GB2312"/>
          <w:b/>
          <w:sz w:val="32"/>
        </w:rPr>
        <w:t>（三）一般公共预算财政拨款支出决算具体情况</w:t>
      </w:r>
    </w:p>
    <w:p w14:paraId="09E10458">
      <w:pPr>
        <w:spacing w:line="580" w:lineRule="exact"/>
        <w:ind w:firstLine="640"/>
        <w:jc w:val="both"/>
      </w:pPr>
      <w:r>
        <w:rPr>
          <w:rFonts w:ascii="仿宋_GB2312" w:hAnsi="仿宋_GB2312" w:eastAsia="仿宋_GB2312"/>
          <w:b w:val="0"/>
          <w:sz w:val="32"/>
        </w:rPr>
        <w:t>1.教育支出（类）普通教育（款）高等教育（项）：支出决算数为132.79万元，比上年决算增加7.78万元，增长6.22%，主要原因是：本年在职人员工资调增，社保、公积金基数调增，人员经费增加。</w:t>
      </w:r>
    </w:p>
    <w:p w14:paraId="5D628832">
      <w:pPr>
        <w:spacing w:line="640" w:lineRule="exact"/>
        <w:ind w:firstLine="640"/>
        <w:jc w:val="both"/>
        <w:outlineLvl w:val="2"/>
      </w:pPr>
      <w:r>
        <w:rPr>
          <w:rFonts w:ascii="黑体" w:hAnsi="黑体" w:eastAsia="黑体"/>
          <w:sz w:val="32"/>
        </w:rPr>
        <w:t>六、一般公共预算财政拨款基本支出决算情况说明</w:t>
      </w:r>
    </w:p>
    <w:p w14:paraId="704F823A">
      <w:pPr>
        <w:spacing w:line="580" w:lineRule="exact"/>
        <w:ind w:firstLine="640"/>
        <w:jc w:val="both"/>
      </w:pPr>
      <w:r>
        <w:rPr>
          <w:rFonts w:ascii="仿宋_GB2312" w:hAnsi="仿宋_GB2312" w:eastAsia="仿宋_GB2312"/>
          <w:b w:val="0"/>
          <w:sz w:val="32"/>
        </w:rPr>
        <w:t>2025年度一般公共预算财政拨款基本支出132.79万元，其中：</w:t>
      </w:r>
      <w:r>
        <w:rPr>
          <w:rFonts w:ascii="仿宋_GB2312" w:hAnsi="仿宋_GB2312" w:eastAsia="仿宋_GB2312"/>
          <w:b/>
          <w:sz w:val="32"/>
        </w:rPr>
        <w:t>人员经费132.79万元，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w:t>
      </w:r>
    </w:p>
    <w:p w14:paraId="4E19BB89">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61F812D4">
      <w:pPr>
        <w:spacing w:line="640" w:lineRule="exact"/>
        <w:ind w:firstLine="640"/>
        <w:jc w:val="both"/>
        <w:outlineLvl w:val="2"/>
      </w:pPr>
      <w:r>
        <w:rPr>
          <w:rFonts w:ascii="黑体" w:hAnsi="黑体" w:eastAsia="黑体"/>
          <w:sz w:val="32"/>
        </w:rPr>
        <w:t>七、政府性基金预算财政拨款收入支出决算情况说明</w:t>
      </w:r>
    </w:p>
    <w:p w14:paraId="214C838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F570DC5">
      <w:pPr>
        <w:spacing w:line="640" w:lineRule="exact"/>
        <w:ind w:firstLine="640"/>
        <w:jc w:val="both"/>
        <w:outlineLvl w:val="2"/>
      </w:pPr>
      <w:r>
        <w:rPr>
          <w:rFonts w:ascii="黑体" w:hAnsi="黑体" w:eastAsia="黑体"/>
          <w:sz w:val="32"/>
        </w:rPr>
        <w:t>八、国有资本经营预算财政拨款收入支出决算情况说明</w:t>
      </w:r>
    </w:p>
    <w:p w14:paraId="0DC27E7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D12DF1D">
      <w:pPr>
        <w:spacing w:line="640" w:lineRule="exact"/>
        <w:ind w:firstLine="640"/>
        <w:jc w:val="both"/>
        <w:outlineLvl w:val="2"/>
      </w:pPr>
      <w:r>
        <w:rPr>
          <w:rFonts w:ascii="黑体" w:hAnsi="黑体" w:eastAsia="黑体"/>
          <w:sz w:val="32"/>
        </w:rPr>
        <w:t>九、财政拨款“三公”经费支出决算情况说明</w:t>
      </w:r>
    </w:p>
    <w:p w14:paraId="6BF59253">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7BD524A4">
      <w:pPr>
        <w:spacing w:line="580" w:lineRule="exact"/>
        <w:ind w:firstLine="640"/>
        <w:jc w:val="both"/>
      </w:pPr>
      <w:r>
        <w:rPr>
          <w:rFonts w:ascii="仿宋_GB2312" w:hAnsi="仿宋_GB2312" w:eastAsia="仿宋_GB2312"/>
          <w:b/>
          <w:sz w:val="32"/>
        </w:rPr>
        <w:t>具体情况如下：</w:t>
      </w:r>
    </w:p>
    <w:p w14:paraId="10FB98D5">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15154301">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14:paraId="2AF2791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16BD15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3E02CB1">
      <w:pPr>
        <w:spacing w:line="640" w:lineRule="exact"/>
        <w:ind w:firstLine="640"/>
        <w:jc w:val="both"/>
        <w:outlineLvl w:val="2"/>
      </w:pPr>
      <w:r>
        <w:rPr>
          <w:rFonts w:ascii="黑体" w:hAnsi="黑体" w:eastAsia="黑体"/>
          <w:sz w:val="32"/>
        </w:rPr>
        <w:t>十、其他重要事项的情况说明</w:t>
      </w:r>
    </w:p>
    <w:p w14:paraId="7E79F17F">
      <w:pPr>
        <w:spacing w:line="640" w:lineRule="exact"/>
        <w:ind w:firstLine="640"/>
        <w:jc w:val="both"/>
        <w:outlineLvl w:val="3"/>
      </w:pPr>
      <w:r>
        <w:rPr>
          <w:rFonts w:ascii="楷体_GB2312" w:hAnsi="楷体_GB2312" w:eastAsia="楷体_GB2312"/>
          <w:b/>
          <w:sz w:val="32"/>
        </w:rPr>
        <w:t>（一）机关运行经费及公用经费支出情况</w:t>
      </w:r>
    </w:p>
    <w:p w14:paraId="2184F3C2">
      <w:pPr>
        <w:spacing w:line="580" w:lineRule="exact"/>
        <w:ind w:firstLine="640"/>
        <w:jc w:val="both"/>
      </w:pPr>
      <w:r>
        <w:rPr>
          <w:rFonts w:ascii="仿宋_GB2312" w:hAnsi="仿宋_GB2312" w:eastAsia="仿宋_GB2312"/>
          <w:b w:val="0"/>
          <w:sz w:val="32"/>
        </w:rPr>
        <w:t>2025年度新疆维吾尔自治区核酸检测中心（事业单位）公用经费支出0.00万元，比上年增加0.00万元，增长0.00%，主要原因是：2024年与2025年均无公用经费支出。</w:t>
      </w:r>
    </w:p>
    <w:p w14:paraId="54D855B1">
      <w:pPr>
        <w:spacing w:line="640" w:lineRule="exact"/>
        <w:ind w:firstLine="640"/>
        <w:jc w:val="both"/>
        <w:outlineLvl w:val="3"/>
      </w:pPr>
      <w:r>
        <w:rPr>
          <w:rFonts w:ascii="楷体_GB2312" w:hAnsi="楷体_GB2312" w:eastAsia="楷体_GB2312"/>
          <w:b/>
          <w:sz w:val="32"/>
        </w:rPr>
        <w:t>（二）政府采购情况</w:t>
      </w:r>
    </w:p>
    <w:p w14:paraId="0E086E6D">
      <w:pPr>
        <w:spacing w:line="580" w:lineRule="exact"/>
        <w:ind w:firstLine="640"/>
        <w:jc w:val="both"/>
      </w:pPr>
      <w:r>
        <w:rPr>
          <w:rFonts w:ascii="仿宋_GB2312" w:hAnsi="仿宋_GB2312" w:eastAsia="仿宋_GB2312"/>
          <w:b w:val="0"/>
          <w:sz w:val="32"/>
        </w:rPr>
        <w:t>2025年度政府采购支出总额0.00万元，其中：政府采购货物支出0.00万元、政府采购工程支出0.00万元、政府采购服务支出0.00万元。</w:t>
      </w:r>
    </w:p>
    <w:p w14:paraId="14FFDD1B">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0ADD939F">
      <w:pPr>
        <w:spacing w:line="640" w:lineRule="exact"/>
        <w:ind w:firstLine="640"/>
        <w:jc w:val="both"/>
        <w:outlineLvl w:val="3"/>
      </w:pPr>
      <w:r>
        <w:rPr>
          <w:rFonts w:ascii="楷体_GB2312" w:hAnsi="楷体_GB2312" w:eastAsia="楷体_GB2312"/>
          <w:b/>
          <w:sz w:val="32"/>
        </w:rPr>
        <w:t>（三）国有资产占用情况说明</w:t>
      </w:r>
    </w:p>
    <w:p w14:paraId="42F5173E">
      <w:pPr>
        <w:spacing w:line="580" w:lineRule="exact"/>
        <w:ind w:firstLine="640"/>
        <w:jc w:val="both"/>
      </w:pPr>
      <w:r>
        <w:rPr>
          <w:rFonts w:ascii="仿宋_GB2312" w:hAnsi="仿宋_GB2312" w:eastAsia="仿宋_GB2312"/>
          <w:b w:val="0"/>
          <w:sz w:val="32"/>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EB68E77">
      <w:pPr>
        <w:spacing w:line="640" w:lineRule="exact"/>
        <w:ind w:firstLine="640"/>
        <w:jc w:val="both"/>
        <w:outlineLvl w:val="2"/>
      </w:pPr>
      <w:r>
        <w:rPr>
          <w:rFonts w:ascii="黑体" w:hAnsi="黑体" w:eastAsia="黑体"/>
          <w:sz w:val="32"/>
        </w:rPr>
        <w:t>十一、预算绩效的情况说明</w:t>
      </w:r>
    </w:p>
    <w:p w14:paraId="3DD09E77">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评价项目。发现的问题及原因：本单位无预算绩效评价项目。下一步改进措施：本单位无预算绩效评价项目。</w:t>
      </w:r>
    </w:p>
    <w:p w14:paraId="61E345A9">
      <w:r>
        <w:br w:type="page"/>
      </w:r>
    </w:p>
    <w:p w14:paraId="007362A8">
      <w:pPr>
        <w:spacing w:line="640" w:lineRule="exact"/>
        <w:ind w:firstLine="640"/>
        <w:jc w:val="both"/>
        <w:outlineLvl w:val="2"/>
      </w:pPr>
      <w:r>
        <w:rPr>
          <w:rFonts w:ascii="黑体" w:hAnsi="黑体" w:eastAsia="黑体"/>
          <w:sz w:val="32"/>
        </w:rPr>
        <w:t>十二、其他需说明的事项</w:t>
      </w:r>
    </w:p>
    <w:p w14:paraId="4A5ABBDD">
      <w:pPr>
        <w:spacing w:line="580" w:lineRule="exact"/>
        <w:ind w:firstLine="640"/>
        <w:jc w:val="both"/>
      </w:pPr>
      <w:r>
        <w:rPr>
          <w:rFonts w:ascii="仿宋_GB2312" w:hAnsi="仿宋_GB2312" w:eastAsia="仿宋_GB2312"/>
          <w:b w:val="0"/>
          <w:sz w:val="32"/>
        </w:rPr>
        <w:t>本单位2025年度无政府采购支出，授予中小企业合同金额0.00万元。</w:t>
      </w:r>
    </w:p>
    <w:p w14:paraId="4D8B1346">
      <w:r>
        <w:br w:type="page"/>
      </w:r>
    </w:p>
    <w:p w14:paraId="6FA1F186">
      <w:pPr>
        <w:spacing w:line="600" w:lineRule="exact"/>
        <w:jc w:val="center"/>
        <w:outlineLvl w:val="0"/>
      </w:pPr>
      <w:r>
        <w:rPr>
          <w:rFonts w:ascii="黑体" w:hAnsi="黑体" w:eastAsia="黑体"/>
          <w:sz w:val="32"/>
        </w:rPr>
        <w:t>第三部分 专业名词解释</w:t>
      </w:r>
    </w:p>
    <w:p w14:paraId="549644DC">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6B0B39CB">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5E0035D">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45199946">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912B535">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6E588A4B">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477B93D4">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1833B319">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7519B417">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0D7E8964">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435C82AC">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41C32181">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76E7A61F">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7FAFAD40">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7F7693C7">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6A924950">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5074D38A">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57187AD1">
      <w:r>
        <w:br w:type="page"/>
      </w:r>
    </w:p>
    <w:p w14:paraId="23AFB5A2">
      <w:pPr>
        <w:spacing w:line="240" w:lineRule="auto"/>
        <w:jc w:val="center"/>
        <w:outlineLvl w:val="1"/>
      </w:pPr>
      <w:r>
        <w:rPr>
          <w:rFonts w:ascii="黑体" w:hAnsi="黑体" w:eastAsia="黑体"/>
          <w:sz w:val="32"/>
        </w:rPr>
        <w:t>第四部分 部门决算报表（见附表）</w:t>
      </w:r>
    </w:p>
    <w:p w14:paraId="6CC2680A">
      <w:pPr>
        <w:autoSpaceDE w:val="0"/>
        <w:autoSpaceDN w:val="0"/>
        <w:spacing w:line="600" w:lineRule="exact"/>
        <w:ind w:firstLine="640" w:firstLineChars="200"/>
      </w:pPr>
      <w:r>
        <w:rPr>
          <w:rFonts w:ascii="仿宋_GB2312" w:hAnsi="仿宋_GB2312" w:eastAsia="仿宋_GB2312"/>
          <w:b w:val="0"/>
          <w:sz w:val="32"/>
        </w:rPr>
        <w:t>一、《收入支出决算总表》</w:t>
      </w:r>
    </w:p>
    <w:p w14:paraId="156825D8">
      <w:pPr>
        <w:autoSpaceDE w:val="0"/>
        <w:autoSpaceDN w:val="0"/>
        <w:spacing w:line="600" w:lineRule="exact"/>
        <w:ind w:firstLine="640" w:firstLineChars="200"/>
      </w:pPr>
      <w:r>
        <w:rPr>
          <w:rFonts w:ascii="仿宋_GB2312" w:hAnsi="仿宋_GB2312" w:eastAsia="仿宋_GB2312"/>
          <w:b w:val="0"/>
          <w:sz w:val="32"/>
        </w:rPr>
        <w:t>二、《收入决算表》</w:t>
      </w:r>
    </w:p>
    <w:p w14:paraId="6B03FBB6">
      <w:pPr>
        <w:autoSpaceDE w:val="0"/>
        <w:autoSpaceDN w:val="0"/>
        <w:spacing w:line="600" w:lineRule="exact"/>
        <w:ind w:firstLine="640" w:firstLineChars="200"/>
      </w:pPr>
      <w:r>
        <w:rPr>
          <w:rFonts w:ascii="仿宋_GB2312" w:hAnsi="仿宋_GB2312" w:eastAsia="仿宋_GB2312"/>
          <w:b w:val="0"/>
          <w:sz w:val="32"/>
        </w:rPr>
        <w:t>三、《支出决算表》</w:t>
      </w:r>
    </w:p>
    <w:p w14:paraId="5FBD0DFC">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3BAAB9A6">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156BA2B7">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437E67EB">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5C1A384D">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287EFE75">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18F74D39">
      <w:pPr>
        <w:autoSpaceDE w:val="0"/>
        <w:autoSpaceDN w:val="0"/>
        <w:spacing w:line="600" w:lineRule="exact"/>
        <w:ind w:firstLine="640" w:firstLineChars="200"/>
      </w:pPr>
    </w:p>
    <w:p w14:paraId="66E070EA">
      <w:pPr>
        <w:autoSpaceDE w:val="0"/>
        <w:autoSpaceDN w:val="0"/>
        <w:spacing w:line="600" w:lineRule="exact"/>
        <w:ind w:firstLine="640" w:firstLineChars="200"/>
      </w:pPr>
    </w:p>
    <w:p w14:paraId="12F70246">
      <w:pPr>
        <w:autoSpaceDE w:val="0"/>
        <w:autoSpaceDN w:val="0"/>
        <w:spacing w:line="600" w:lineRule="exact"/>
        <w:ind w:firstLine="640" w:firstLineChars="200"/>
      </w:pPr>
    </w:p>
    <w:p w14:paraId="5956DF2D">
      <w:pPr>
        <w:autoSpaceDE w:val="0"/>
        <w:autoSpaceDN w:val="0"/>
        <w:spacing w:line="600" w:lineRule="exact"/>
        <w:ind w:firstLine="640" w:firstLineChars="200"/>
      </w:pPr>
    </w:p>
    <w:p w14:paraId="15D17AFA">
      <w:pPr>
        <w:autoSpaceDE w:val="0"/>
        <w:autoSpaceDN w:val="0"/>
        <w:spacing w:line="600" w:lineRule="exact"/>
        <w:ind w:firstLine="640" w:firstLineChars="200"/>
      </w:pPr>
    </w:p>
    <w:sectPr>
      <w:footerReference r:id="rId3" w:type="default"/>
      <w:pgSz w:w="11906" w:h="16838"/>
      <w:pgMar w:top="2098" w:right="1531"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7DA6583-BE53-4D57-83A5-D1232EEA5CE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B3C9D91-11AD-4551-9385-C3D944612507}"/>
  </w:font>
  <w:font w:name="仿宋_GB2312">
    <w:panose1 w:val="02010609030101010101"/>
    <w:charset w:val="86"/>
    <w:family w:val="modern"/>
    <w:pitch w:val="default"/>
    <w:sig w:usb0="00000001" w:usb1="080E0000" w:usb2="00000000" w:usb3="00000000" w:csb0="00040000" w:csb1="00000000"/>
    <w:embedRegular r:id="rId3" w:fontKey="{69D71FE8-E430-4F59-8A58-A4FF27CD87FB}"/>
  </w:font>
  <w:font w:name="楷体_GB2312">
    <w:altName w:val="楷体"/>
    <w:panose1 w:val="00000000000000000000"/>
    <w:charset w:val="00"/>
    <w:family w:val="auto"/>
    <w:pitch w:val="default"/>
    <w:sig w:usb0="00000000" w:usb1="00000000" w:usb2="00000000" w:usb3="00000000" w:csb0="00000000" w:csb1="00000000"/>
    <w:embedRegular r:id="rId4" w:fontKey="{663E450B-FACA-4B2E-9BE4-97DC618F7BC5}"/>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755562B"/>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2470DC"/>
    <w:rsid w:val="4AE426AE"/>
    <w:rsid w:val="4B4C0111"/>
    <w:rsid w:val="4D3F1CC6"/>
    <w:rsid w:val="4D730311"/>
    <w:rsid w:val="505A358E"/>
    <w:rsid w:val="50DB5F45"/>
    <w:rsid w:val="50E47294"/>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a89bd816-fa92-40c9-8c4b-ed5b2045235c}">
  <ds:schemaRefs/>
</ds:datastoreItem>
</file>

<file path=docProps/app.xml><?xml version="1.0" encoding="utf-8"?>
<Properties xmlns="http://schemas.openxmlformats.org/officeDocument/2006/extended-properties" xmlns:vt="http://schemas.openxmlformats.org/officeDocument/2006/docPropsVTypes">
  <Template>Normal.dotm</Template>
  <Pages>16</Pages>
  <Words>4603</Words>
  <Characters>5110</Characters>
  <Lines>10</Lines>
  <Paragraphs>2</Paragraphs>
  <TotalTime>7</TotalTime>
  <ScaleCrop>false</ScaleCrop>
  <LinksUpToDate>false</LinksUpToDate>
  <CharactersWithSpaces>5120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U</cp:lastModifiedBy>
  <cp:lastPrinted>2024-07-22T11:58:00Z</cp:lastPrinted>
  <dcterms:modified xsi:type="dcterms:W3CDTF">2026-09-02T08:46:23Z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eyJoZGlkIjoiMzEwNTM5NzYwMDRjMzkwZTVkZjY2ODkwMGIxNGU0OTUiLCJ1c2VySWQiOiIyNDE2NzgwOTkifQ==</vt:lpwstr>
  </property>
</Properties>
</file>