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新疆医科大学（本级）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91DCF59">
      <w:r>
        <w:br w:type="page"/>
      </w:r>
    </w:p>
    <w:p w14:paraId="11D1CDD3">
      <w:pPr>
        <w:spacing w:line="640" w:lineRule="exact"/>
        <w:jc w:val="center"/>
        <w:outlineLvl w:val="1"/>
      </w:pPr>
      <w:r>
        <w:rPr>
          <w:rFonts w:ascii="黑体" w:hAnsi="黑体" w:eastAsia="黑体"/>
          <w:sz w:val="32"/>
        </w:rPr>
        <w:t>第一部分 单位概况</w:t>
      </w:r>
    </w:p>
    <w:p w14:paraId="62FF3BBE">
      <w:pPr>
        <w:spacing w:line="640" w:lineRule="exact"/>
        <w:ind w:firstLine="640"/>
        <w:jc w:val="both"/>
        <w:outlineLvl w:val="2"/>
      </w:pPr>
      <w:r>
        <w:rPr>
          <w:rFonts w:ascii="黑体" w:hAnsi="黑体" w:eastAsia="黑体"/>
          <w:sz w:val="32"/>
        </w:rPr>
        <w:t>一、主要职能</w:t>
      </w:r>
    </w:p>
    <w:p w14:paraId="5D44E290">
      <w:pPr>
        <w:spacing w:line="580" w:lineRule="exact"/>
        <w:ind w:firstLine="640"/>
        <w:jc w:val="both"/>
      </w:pPr>
      <w:r>
        <w:rPr>
          <w:rFonts w:ascii="仿宋_GB2312" w:hAnsi="仿宋_GB2312" w:eastAsia="仿宋_GB2312"/>
          <w:sz w:val="32"/>
        </w:rPr>
        <w:t>新疆医科大学的前身新疆医学院，是国家“一五”计划156个重点项目之一。1954年7月，新疆医学院开工建设，在党中央关怀下，中央卫生部先后从北京、上海、山东、江苏、辽宁等15个省市抽调上百名教学、医疗、管理干部支援建设。1956年10月，新疆医学院开始招生。1998年6月，新疆医学院与新疆中医学院合并，成立新疆医科大学。2016年8月，新疆维吾尔自治区人民政府、原国家卫生计生委、教育部联合印发《关于共建新疆医科大学的意见》，学校正式成为部委省共建高校。</w:t>
      </w:r>
    </w:p>
    <w:p w14:paraId="039E0EE0">
      <w:pPr>
        <w:spacing w:line="580" w:lineRule="exact"/>
        <w:ind w:firstLine="640"/>
        <w:jc w:val="both"/>
      </w:pPr>
      <w:r>
        <w:rPr>
          <w:rFonts w:ascii="仿宋_GB2312" w:hAnsi="仿宋_GB2312" w:eastAsia="仿宋_GB2312"/>
          <w:sz w:val="32"/>
        </w:rPr>
        <w:t>学校建立了完整的学士、硕士、博士培养体系，涉及医学、理学、工学、管理学、法学5个学科门类。现有5个一级学科博士学位授权点、3个博士专业学位授权点，14个一级学科硕士学位授权点、10个硕士专业学位授权点，4个博士后科研流动站、4个博士后科研工作站，4个学科入选自治区“十四五”重点学科建设序列并顺利通过验收。现有29个本科专业，其中有6个国家级特色专业、6个自治区级重点专业，9个国家级一流本科专业建设点，7个自治区级一流本科专业建设点，1个国家级人才培养模式创新实验区。临床医学、药理学与毒理学、生物学与生物化学、免疫学4个学科进入ESI全球排名前1%，其中临床医学是新疆首个跻身ESI全球排名前1%的学科，最新千分位排名为1.81‰，药理学与毒理学、生物学与生物化学、免疫学千分位排名分别为5.63‰、8.64‰和9.67‰。</w:t>
      </w:r>
    </w:p>
    <w:p w14:paraId="7483A054">
      <w:pPr>
        <w:spacing w:line="580" w:lineRule="exact"/>
        <w:ind w:firstLine="640"/>
        <w:jc w:val="both"/>
      </w:pPr>
      <w:r>
        <w:rPr>
          <w:rFonts w:ascii="仿宋_GB2312" w:hAnsi="仿宋_GB2312" w:eastAsia="仿宋_GB2312"/>
          <w:sz w:val="32"/>
        </w:rPr>
        <w:t>学校现有国家级实验教学示范中心2个、国家级临床教学培训示范中心2个、国家级专业技术人员继续教育基地1个，自治区级实验教学示范中心8个、自治区级专业技术人员继续教育基地1个。有省部级及以上科研平台66个，其中国家中医临床研究基地1个，科技部省部共建国家重点实验室1个，科技部国家国际科技合作基地1个，教育部新疆高等研究院（共建）1个，省部共建教育部重点实验室1个，教育部高等学校学科创新引智计划1个，教育部国际合作联合实验室1个，教育部省部共建协同创新中心1个，教育部工程研究中心1个，国家临床医学研究中心分中心9个；自治区重点实验室19个，自治区临床医学研究中心13个，自治区工程技术研究中心6个，“十四五”自治区普通高等学校人文社会科学重点研究基地1个，自治区教育系统铸牢中华民族共同体意识研究与实践基地1个，自治区引才引智示范基地1个，自治区科普教育基地7个等。</w:t>
      </w:r>
    </w:p>
    <w:p w14:paraId="1E90AEEA">
      <w:pPr>
        <w:spacing w:line="580" w:lineRule="exact"/>
        <w:ind w:firstLine="640"/>
        <w:jc w:val="both"/>
      </w:pPr>
      <w:r>
        <w:rPr>
          <w:rFonts w:ascii="仿宋_GB2312" w:hAnsi="仿宋_GB2312" w:eastAsia="仿宋_GB2312"/>
          <w:sz w:val="32"/>
        </w:rPr>
        <w:t>学校不断加强与国内外知名高校的交流合作，与中南大学、吉林大学、北京中医药大学、中国药科大学、温州医科大学建立了全面对口支援协作关系，与复旦大学、中山大学、兰州大学等30余所大学建立了友好合作关系。与哈萨克斯坦、乌兹别克斯坦、</w:t>
      </w:r>
      <w:r>
        <w:rPr>
          <w:rFonts w:hint="eastAsia" w:ascii="仿宋_GB2312" w:hAnsi="仿宋_GB2312" w:eastAsia="仿宋_GB2312"/>
          <w:sz w:val="32"/>
          <w:lang w:eastAsia="zh-CN"/>
        </w:rPr>
        <w:t>吉尔吉斯斯坦</w:t>
      </w:r>
      <w:r>
        <w:rPr>
          <w:rFonts w:ascii="仿宋_GB2312" w:hAnsi="仿宋_GB2312" w:eastAsia="仿宋_GB2312"/>
          <w:sz w:val="32"/>
        </w:rPr>
        <w:t>、塔吉克斯坦、俄罗斯、格鲁吉亚、法国等12个国家和地区的60所大学、医疗及科研机构建立了友好合作交流关系。</w:t>
      </w:r>
    </w:p>
    <w:p w14:paraId="267EE1DA">
      <w:pPr>
        <w:spacing w:line="580" w:lineRule="exact"/>
        <w:ind w:firstLine="640"/>
        <w:jc w:val="both"/>
      </w:pPr>
      <w:r>
        <w:rPr>
          <w:rFonts w:ascii="仿宋_GB2312" w:hAnsi="仿宋_GB2312" w:eastAsia="仿宋_GB2312"/>
          <w:sz w:val="32"/>
        </w:rPr>
        <w:t>学校总占地面积171.25万平方米（约2569亩），总建筑面积约121万平方米，其中教学及辅助用房面积约39万平方米。固定资产总值约51亿元，教学科研仪器设备资产值约4.7亿元。图书馆面积约5万平方米，拥有纸质藏书总量187.80万册，电子图书73.80万册，电子期刊81.42万册，学位论文1144.43万册，音视频10852小时，是中国高等教育文献保障系统（CALIS）主要成员馆之一，教育部科技查新工作站，全国专利文献服务网点，国家知识产权信息公共服务网点。学校充分利用物联网、云计算、大数据、泛在感知等信息技术推进“智慧校园”建设，校园内高速网络全覆盖，是获得国家“绿色数据中心”荣誉称号的单位。建有田径场、体育馆、游泳馆、风雨操场、室外球类运动场以及文创中心等多个文体场所。</w:t>
      </w:r>
    </w:p>
    <w:p w14:paraId="4661999F">
      <w:pPr>
        <w:spacing w:line="580" w:lineRule="exact"/>
        <w:ind w:firstLine="640"/>
        <w:jc w:val="both"/>
      </w:pPr>
      <w:r>
        <w:rPr>
          <w:rFonts w:ascii="仿宋_GB2312" w:hAnsi="仿宋_GB2312" w:eastAsia="仿宋_GB2312"/>
          <w:sz w:val="32"/>
        </w:rPr>
        <w:t>学校锚定中央赋予新疆的“五大战略定位”，主动服务区域经济社会发展，紧围绕人才培养、学科建设、医疗服务三项高质量发展任务，构建“党建、思政、教学、学科、科研、管理、服务、稳定、医疗、国际化”十项工作机制，不断优化学科专业布局和师资队伍结构，提升人才培养、科技创新和医疗服务能力，融入国家战略，服务新疆经济社会发展需要，努力建设“西部一流、辐射中亚的高水平研究型医科大学”。</w:t>
      </w:r>
    </w:p>
    <w:p w14:paraId="343AB7AE">
      <w:pPr>
        <w:spacing w:line="640" w:lineRule="exact"/>
        <w:ind w:firstLine="640"/>
        <w:jc w:val="both"/>
        <w:outlineLvl w:val="2"/>
      </w:pPr>
      <w:r>
        <w:rPr>
          <w:rFonts w:ascii="黑体" w:hAnsi="黑体" w:eastAsia="黑体"/>
          <w:sz w:val="32"/>
        </w:rPr>
        <w:t>二、机构设置</w:t>
      </w:r>
    </w:p>
    <w:p w14:paraId="73AB949C">
      <w:pPr>
        <w:spacing w:line="580" w:lineRule="exact"/>
        <w:ind w:firstLine="640"/>
        <w:jc w:val="both"/>
      </w:pPr>
      <w:r>
        <w:rPr>
          <w:rFonts w:ascii="仿宋_GB2312" w:hAnsi="仿宋_GB2312" w:eastAsia="仿宋_GB2312"/>
          <w:sz w:val="32"/>
        </w:rPr>
        <w:t>新疆医科大学（本级）无下属预算单位。</w:t>
      </w:r>
    </w:p>
    <w:p w14:paraId="1273AA03">
      <w:r>
        <w:br w:type="page"/>
      </w:r>
    </w:p>
    <w:p w14:paraId="135D8B97">
      <w:pPr>
        <w:spacing w:line="240" w:lineRule="auto"/>
        <w:jc w:val="center"/>
        <w:outlineLvl w:val="1"/>
      </w:pPr>
      <w:r>
        <w:rPr>
          <w:rFonts w:ascii="黑体" w:hAnsi="黑体" w:eastAsia="黑体"/>
          <w:sz w:val="32"/>
        </w:rPr>
        <w:t>第二部分 部门决算情况说明</w:t>
      </w:r>
    </w:p>
    <w:p w14:paraId="1103E4DD">
      <w:pPr>
        <w:spacing w:line="640" w:lineRule="exact"/>
        <w:ind w:firstLine="640"/>
        <w:jc w:val="both"/>
        <w:outlineLvl w:val="2"/>
      </w:pPr>
      <w:r>
        <w:rPr>
          <w:rFonts w:ascii="黑体" w:hAnsi="黑体" w:eastAsia="黑体"/>
          <w:sz w:val="32"/>
        </w:rPr>
        <w:t>一、收入支出决算总体情况说明</w:t>
      </w:r>
    </w:p>
    <w:p w14:paraId="75BC6F84">
      <w:pPr>
        <w:spacing w:line="580" w:lineRule="exact"/>
        <w:ind w:firstLine="640"/>
        <w:jc w:val="both"/>
      </w:pPr>
      <w:r>
        <w:rPr>
          <w:rFonts w:ascii="仿宋_GB2312" w:hAnsi="仿宋_GB2312" w:eastAsia="仿宋_GB2312"/>
          <w:b/>
          <w:sz w:val="32"/>
        </w:rPr>
        <w:t>2025年度收入总计210,615.11万元，</w:t>
      </w:r>
      <w:r>
        <w:rPr>
          <w:rFonts w:ascii="仿宋_GB2312" w:hAnsi="仿宋_GB2312" w:eastAsia="仿宋_GB2312"/>
          <w:b w:val="0"/>
          <w:sz w:val="32"/>
        </w:rPr>
        <w:t>其中：本年收入合计144,774.87万元，使用非财政拨款结余（含专用结余）0.00万元，年初结转和结余65,840.24万元。</w:t>
      </w:r>
    </w:p>
    <w:p w14:paraId="760EB1C8">
      <w:pPr>
        <w:spacing w:line="580" w:lineRule="exact"/>
        <w:ind w:firstLine="640"/>
        <w:jc w:val="both"/>
      </w:pPr>
      <w:r>
        <w:rPr>
          <w:rFonts w:ascii="仿宋_GB2312" w:hAnsi="仿宋_GB2312" w:eastAsia="仿宋_GB2312"/>
          <w:b/>
          <w:sz w:val="32"/>
        </w:rPr>
        <w:t>2025年度支出总计210,615.11万元，</w:t>
      </w:r>
      <w:r>
        <w:rPr>
          <w:rFonts w:ascii="仿宋_GB2312" w:hAnsi="仿宋_GB2312" w:eastAsia="仿宋_GB2312"/>
          <w:b w:val="0"/>
          <w:sz w:val="32"/>
        </w:rPr>
        <w:t>其中：本年支出合计162,725.96万元，结余分配0.00万元，年末结转和结余47,889.15万元。</w:t>
      </w:r>
    </w:p>
    <w:p w14:paraId="1BAB3079">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增加11,316.96万元，增长5.68%，主要原因是：1.学生人数增长，生均拨款较上年增长；2.学生资助资金等财政专项资金较上年增长；3.基础建设经费年初结转资金较上年增长。</w:t>
      </w:r>
    </w:p>
    <w:p w14:paraId="66C17556">
      <w:pPr>
        <w:spacing w:line="640" w:lineRule="exact"/>
        <w:ind w:firstLine="640"/>
        <w:jc w:val="both"/>
        <w:outlineLvl w:val="2"/>
      </w:pPr>
      <w:r>
        <w:rPr>
          <w:rFonts w:ascii="黑体" w:hAnsi="黑体" w:eastAsia="黑体"/>
          <w:sz w:val="32"/>
        </w:rPr>
        <w:t>二、收入决算情况说明</w:t>
      </w:r>
    </w:p>
    <w:p w14:paraId="4DA6BA21">
      <w:pPr>
        <w:spacing w:line="580" w:lineRule="exact"/>
        <w:ind w:firstLine="640"/>
        <w:jc w:val="both"/>
      </w:pPr>
      <w:r>
        <w:rPr>
          <w:rFonts w:ascii="仿宋_GB2312" w:hAnsi="仿宋_GB2312" w:eastAsia="仿宋_GB2312"/>
          <w:b/>
          <w:sz w:val="32"/>
        </w:rPr>
        <w:t>本年收入144,774.87万元，</w:t>
      </w:r>
      <w:r>
        <w:rPr>
          <w:rFonts w:ascii="仿宋_GB2312" w:hAnsi="仿宋_GB2312" w:eastAsia="仿宋_GB2312"/>
          <w:b w:val="0"/>
          <w:sz w:val="32"/>
        </w:rPr>
        <w:t>其中：财政拨款收入103,560.79万元，占71.53%；上级补助收入0.00万元，占0.00%；事业收入29,429.27万元，占20.33%；经营收入0.00万元，占0.00%；附属单位上缴收入0.00万元，占0.00%；其他收入11,784.81万元，占8.14%。</w:t>
      </w:r>
    </w:p>
    <w:p w14:paraId="0B03A362">
      <w:pPr>
        <w:spacing w:line="640" w:lineRule="exact"/>
        <w:ind w:firstLine="640"/>
        <w:jc w:val="both"/>
        <w:outlineLvl w:val="2"/>
      </w:pPr>
      <w:r>
        <w:rPr>
          <w:rFonts w:ascii="黑体" w:hAnsi="黑体" w:eastAsia="黑体"/>
          <w:sz w:val="32"/>
        </w:rPr>
        <w:t>三、支出决算情况说明</w:t>
      </w:r>
    </w:p>
    <w:p w14:paraId="69A95288">
      <w:pPr>
        <w:spacing w:line="580" w:lineRule="exact"/>
        <w:ind w:firstLine="640"/>
        <w:jc w:val="both"/>
      </w:pPr>
      <w:r>
        <w:rPr>
          <w:rFonts w:ascii="仿宋_GB2312" w:hAnsi="仿宋_GB2312" w:eastAsia="仿宋_GB2312"/>
          <w:b/>
          <w:sz w:val="32"/>
        </w:rPr>
        <w:t>本年支出162,725.96万元，</w:t>
      </w:r>
      <w:r>
        <w:rPr>
          <w:rFonts w:ascii="仿宋_GB2312" w:hAnsi="仿宋_GB2312" w:eastAsia="仿宋_GB2312"/>
          <w:b w:val="0"/>
          <w:sz w:val="32"/>
        </w:rPr>
        <w:t>其中：基本支出66,894.98万元，占41.11%；项目支出95,830.98万元，占58.89%；上缴上级支出0.00万元，占0.00%；经营支出0.00万元，占0.00%；对附属单位补助支出0.00万元，占0.00%。</w:t>
      </w:r>
    </w:p>
    <w:p w14:paraId="1456014B">
      <w:pPr>
        <w:spacing w:line="640" w:lineRule="exact"/>
        <w:ind w:firstLine="640"/>
        <w:jc w:val="both"/>
        <w:outlineLvl w:val="2"/>
      </w:pPr>
      <w:r>
        <w:rPr>
          <w:rFonts w:ascii="黑体" w:hAnsi="黑体" w:eastAsia="黑体"/>
          <w:sz w:val="32"/>
        </w:rPr>
        <w:t>四、财政拨款收入支出决算总体情况说明</w:t>
      </w:r>
    </w:p>
    <w:p w14:paraId="46643EE4">
      <w:pPr>
        <w:spacing w:line="580" w:lineRule="exact"/>
        <w:ind w:firstLine="640"/>
        <w:jc w:val="both"/>
      </w:pPr>
      <w:r>
        <w:rPr>
          <w:rFonts w:ascii="仿宋_GB2312" w:hAnsi="仿宋_GB2312" w:eastAsia="仿宋_GB2312"/>
          <w:b/>
          <w:sz w:val="32"/>
        </w:rPr>
        <w:t>2025年度财政拨款收入总计108,476.17万元，</w:t>
      </w:r>
      <w:r>
        <w:rPr>
          <w:rFonts w:ascii="仿宋_GB2312" w:hAnsi="仿宋_GB2312" w:eastAsia="仿宋_GB2312"/>
          <w:b w:val="0"/>
          <w:sz w:val="32"/>
        </w:rPr>
        <w:t>其中：年初财政拨款结转和结余4,915.38万元，本年财政拨款收入103,560.79万元。</w:t>
      </w:r>
      <w:r>
        <w:rPr>
          <w:rFonts w:ascii="仿宋_GB2312" w:hAnsi="仿宋_GB2312" w:eastAsia="仿宋_GB2312"/>
          <w:b/>
          <w:sz w:val="32"/>
        </w:rPr>
        <w:t>财政拨款支出总计108,476.17万元，</w:t>
      </w:r>
      <w:r>
        <w:rPr>
          <w:rFonts w:ascii="仿宋_GB2312" w:hAnsi="仿宋_GB2312" w:eastAsia="仿宋_GB2312"/>
          <w:b w:val="0"/>
          <w:sz w:val="32"/>
        </w:rPr>
        <w:t>其中：年末财政拨款结转和结余1,441.09万元，本年财政拨款支出107,035.08万元。</w:t>
      </w:r>
    </w:p>
    <w:p w14:paraId="30C664F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3,531.67万元，增长3.37%，主要原因是：本年在职人员增加，在职人员工资调增、社保、公积金基数调增，人员经费增加；学校新校区多栋楼宇投入运行，运转经费增长；本年增加教育强国基础设施建设工程专项2025年第一批中央基建投资预算等项目，相应支出增加。</w:t>
      </w:r>
      <w:r>
        <w:rPr>
          <w:rFonts w:ascii="仿宋_GB2312" w:hAnsi="仿宋_GB2312" w:eastAsia="仿宋_GB2312"/>
          <w:b/>
          <w:sz w:val="32"/>
        </w:rPr>
        <w:t>与年初预算相比，</w:t>
      </w:r>
      <w:r>
        <w:rPr>
          <w:rFonts w:ascii="仿宋_GB2312" w:hAnsi="仿宋_GB2312" w:eastAsia="仿宋_GB2312"/>
          <w:b w:val="0"/>
          <w:sz w:val="32"/>
        </w:rPr>
        <w:t>年初预算数86,524.17万元，决算数108,476.17万元，预决算差异率25.37%，主要原因是：财政拨款年初预算仅包含生均拨款、中央支持地方高校改革发展等纳入年初预算的财政专项，年中追加人才发展基金等财政专项，导致预决算产生差异。</w:t>
      </w:r>
    </w:p>
    <w:p w14:paraId="7A01D7A5">
      <w:pPr>
        <w:spacing w:line="640" w:lineRule="exact"/>
        <w:ind w:firstLine="640"/>
        <w:jc w:val="both"/>
        <w:outlineLvl w:val="2"/>
      </w:pPr>
      <w:r>
        <w:rPr>
          <w:rFonts w:ascii="黑体" w:hAnsi="黑体" w:eastAsia="黑体"/>
          <w:sz w:val="32"/>
        </w:rPr>
        <w:t>五、一般公共预算财政拨款支出决算情况说明</w:t>
      </w:r>
    </w:p>
    <w:p w14:paraId="4B4FFC67">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14:paraId="54AB0F75">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102,064.78万元，占比95.36%，主要用于学校人员经费发放、学校整体运转、学生资助、科学研究、学校高质量发展等。</w:t>
      </w:r>
    </w:p>
    <w:p w14:paraId="00BDEF47">
      <w:pPr>
        <w:spacing w:line="640" w:lineRule="exact"/>
        <w:ind w:firstLine="640"/>
        <w:jc w:val="both"/>
        <w:outlineLvl w:val="3"/>
      </w:pPr>
      <w:r>
        <w:rPr>
          <w:rFonts w:ascii="楷体_GB2312" w:hAnsi="楷体_GB2312" w:eastAsia="楷体_GB2312"/>
          <w:b/>
          <w:sz w:val="32"/>
        </w:rPr>
        <w:t>（一）一般公共预算财政拨款支出决算总体情况</w:t>
      </w:r>
    </w:p>
    <w:p w14:paraId="37E983E8">
      <w:pPr>
        <w:spacing w:line="580" w:lineRule="exact"/>
        <w:ind w:firstLine="640"/>
        <w:jc w:val="both"/>
      </w:pPr>
      <w:r>
        <w:rPr>
          <w:rFonts w:ascii="仿宋_GB2312" w:hAnsi="仿宋_GB2312" w:eastAsia="仿宋_GB2312"/>
          <w:b/>
          <w:sz w:val="32"/>
        </w:rPr>
        <w:t>2025年度一般公共预算财政拨款支出107,035.08万元，</w:t>
      </w:r>
      <w:r>
        <w:rPr>
          <w:rFonts w:ascii="仿宋_GB2312" w:hAnsi="仿宋_GB2312" w:eastAsia="仿宋_GB2312"/>
          <w:b w:val="0"/>
          <w:sz w:val="32"/>
        </w:rPr>
        <w:t>占本年支出合计的65.78%。</w:t>
      </w:r>
      <w:r>
        <w:rPr>
          <w:rFonts w:ascii="仿宋_GB2312" w:hAnsi="仿宋_GB2312" w:eastAsia="仿宋_GB2312"/>
          <w:b/>
          <w:sz w:val="32"/>
        </w:rPr>
        <w:t>与上年相比，</w:t>
      </w:r>
      <w:r>
        <w:rPr>
          <w:rFonts w:ascii="仿宋_GB2312" w:hAnsi="仿宋_GB2312" w:eastAsia="仿宋_GB2312"/>
          <w:b w:val="0"/>
          <w:sz w:val="32"/>
        </w:rPr>
        <w:t>增加7,621.44万元，增长7.67%，主要原因是：本年在职人员增加，在职人员工资调增、社保、公积金基数调增，人员经费增加；学校新校区多栋楼宇投入运行，运转经费增长；本年增加教育强国基础设施建设工程专项2025年第一批中央基建投资预算等项目，相应支出增加。</w:t>
      </w:r>
      <w:r>
        <w:rPr>
          <w:rFonts w:ascii="仿宋_GB2312" w:hAnsi="仿宋_GB2312" w:eastAsia="仿宋_GB2312"/>
          <w:b/>
          <w:sz w:val="32"/>
        </w:rPr>
        <w:t>与年初预算相比，</w:t>
      </w:r>
      <w:r>
        <w:rPr>
          <w:rFonts w:ascii="仿宋_GB2312" w:hAnsi="仿宋_GB2312" w:eastAsia="仿宋_GB2312"/>
          <w:b w:val="0"/>
          <w:sz w:val="32"/>
        </w:rPr>
        <w:t>年初预算数86,524.17万元，决算数107,035.08万元，预决算差异率23.71%，主要原因是：一般公共预算财政拨款年初预算仅包含生均拨款、中央支持地方高校改革发展等纳入年初预算的财政专项，年中追加学生资助等财政专项，导致预决算产生差异。</w:t>
      </w:r>
    </w:p>
    <w:p w14:paraId="4744C6AE">
      <w:pPr>
        <w:spacing w:line="640" w:lineRule="exact"/>
        <w:ind w:firstLine="640"/>
        <w:jc w:val="both"/>
        <w:outlineLvl w:val="3"/>
      </w:pPr>
      <w:r>
        <w:rPr>
          <w:rFonts w:ascii="楷体_GB2312" w:hAnsi="楷体_GB2312" w:eastAsia="楷体_GB2312"/>
          <w:b/>
          <w:sz w:val="32"/>
        </w:rPr>
        <w:t>（二）一般公共预算财政拨款支出决算结构情况</w:t>
      </w:r>
    </w:p>
    <w:p w14:paraId="00875369">
      <w:pPr>
        <w:spacing w:line="580" w:lineRule="exact"/>
        <w:ind w:firstLine="640"/>
        <w:jc w:val="both"/>
      </w:pPr>
      <w:r>
        <w:rPr>
          <w:rFonts w:ascii="仿宋_GB2312" w:hAnsi="仿宋_GB2312" w:eastAsia="仿宋_GB2312"/>
          <w:b w:val="0"/>
          <w:sz w:val="32"/>
        </w:rPr>
        <w:t>1.教育支出（类）102,660.47万元，占95.91%。</w:t>
      </w:r>
    </w:p>
    <w:p w14:paraId="529B3BDB">
      <w:pPr>
        <w:spacing w:line="580" w:lineRule="exact"/>
        <w:ind w:firstLine="640"/>
        <w:jc w:val="both"/>
      </w:pPr>
      <w:r>
        <w:rPr>
          <w:rFonts w:ascii="仿宋_GB2312" w:hAnsi="仿宋_GB2312" w:eastAsia="仿宋_GB2312"/>
          <w:b w:val="0"/>
          <w:sz w:val="32"/>
        </w:rPr>
        <w:t>2.科学技术支出（类）1,948.00万元，占1.82%。</w:t>
      </w:r>
    </w:p>
    <w:p w14:paraId="789DD359">
      <w:pPr>
        <w:spacing w:line="580" w:lineRule="exact"/>
        <w:ind w:firstLine="640"/>
        <w:jc w:val="both"/>
      </w:pPr>
      <w:r>
        <w:rPr>
          <w:rFonts w:ascii="仿宋_GB2312" w:hAnsi="仿宋_GB2312" w:eastAsia="仿宋_GB2312"/>
          <w:b w:val="0"/>
          <w:sz w:val="32"/>
        </w:rPr>
        <w:t>3.社会保障和就业支出（类）538.13万元，占0.50%。</w:t>
      </w:r>
    </w:p>
    <w:p w14:paraId="220E91A2">
      <w:pPr>
        <w:spacing w:line="580" w:lineRule="exact"/>
        <w:ind w:firstLine="640"/>
        <w:jc w:val="both"/>
      </w:pPr>
      <w:r>
        <w:rPr>
          <w:rFonts w:ascii="仿宋_GB2312" w:hAnsi="仿宋_GB2312" w:eastAsia="仿宋_GB2312"/>
          <w:b w:val="0"/>
          <w:sz w:val="32"/>
        </w:rPr>
        <w:t>4.卫生健康支出（类）1,873.20万元，占1.75%。</w:t>
      </w:r>
    </w:p>
    <w:p w14:paraId="17B6A13D">
      <w:pPr>
        <w:spacing w:line="580" w:lineRule="exact"/>
        <w:ind w:firstLine="640"/>
        <w:jc w:val="both"/>
      </w:pPr>
      <w:r>
        <w:rPr>
          <w:rFonts w:ascii="仿宋_GB2312" w:hAnsi="仿宋_GB2312" w:eastAsia="仿宋_GB2312"/>
          <w:b w:val="0"/>
          <w:sz w:val="32"/>
        </w:rPr>
        <w:t>5.节能环保支出（类）15.27万元，占0.01%。</w:t>
      </w:r>
    </w:p>
    <w:p w14:paraId="33846793">
      <w:pPr>
        <w:spacing w:line="640" w:lineRule="exact"/>
        <w:ind w:firstLine="640"/>
        <w:jc w:val="both"/>
        <w:outlineLvl w:val="3"/>
      </w:pPr>
      <w:r>
        <w:rPr>
          <w:rFonts w:ascii="楷体_GB2312" w:hAnsi="楷体_GB2312" w:eastAsia="楷体_GB2312"/>
          <w:b/>
          <w:sz w:val="32"/>
        </w:rPr>
        <w:t>（三）一般公共预算财政拨款支出决算具体情况</w:t>
      </w:r>
    </w:p>
    <w:p w14:paraId="22BB03EC">
      <w:pPr>
        <w:spacing w:line="580" w:lineRule="exact"/>
        <w:ind w:firstLine="640"/>
        <w:jc w:val="both"/>
      </w:pPr>
      <w:r>
        <w:rPr>
          <w:rFonts w:ascii="仿宋_GB2312" w:hAnsi="仿宋_GB2312" w:eastAsia="仿宋_GB2312"/>
          <w:b w:val="0"/>
          <w:sz w:val="32"/>
        </w:rPr>
        <w:t>1.教育支出（类）普通教育（款）学前教育（项）：支出决算数为533.84万元，比上年决算增加351.96万元，增长193.51%，主要原因是：本年增加2024年自治区本级幼儿园财政补助经费，2024年未执行完毕，结转至2025年执行完毕，相应支出增加。</w:t>
      </w:r>
    </w:p>
    <w:p w14:paraId="40DD3EB7">
      <w:pPr>
        <w:spacing w:line="580" w:lineRule="exact"/>
        <w:ind w:firstLine="640"/>
        <w:jc w:val="both"/>
      </w:pPr>
      <w:r>
        <w:rPr>
          <w:rFonts w:ascii="仿宋_GB2312" w:hAnsi="仿宋_GB2312" w:eastAsia="仿宋_GB2312"/>
          <w:b w:val="0"/>
          <w:sz w:val="32"/>
        </w:rPr>
        <w:t>2.教育支出（类）普通教育（款）高等教育（项）：支出决算数为102,064.78万元，比上年决算增加8,909.96万元，增长9.56%，主要原因是：本年增加教育强国基础设施建设工程专项2025年第一批中央基建投资预算，相应支出增加。</w:t>
      </w:r>
    </w:p>
    <w:p w14:paraId="1CEFF7E1">
      <w:pPr>
        <w:spacing w:line="580" w:lineRule="exact"/>
        <w:ind w:firstLine="640"/>
        <w:jc w:val="both"/>
      </w:pPr>
      <w:r>
        <w:rPr>
          <w:rFonts w:ascii="仿宋_GB2312" w:hAnsi="仿宋_GB2312" w:eastAsia="仿宋_GB2312"/>
          <w:b w:val="0"/>
          <w:sz w:val="32"/>
        </w:rPr>
        <w:t>3.教育支出（类）留学教育（款）来华留学教育（项）：支出决算数为61.86万元，比上年决算减少156.13万元，下降71.62%，主要原因是：2025年自治区人民政府接收周边国家留学生奖学金专项资金拨款减少。</w:t>
      </w:r>
    </w:p>
    <w:p w14:paraId="634BFADF">
      <w:pPr>
        <w:spacing w:line="580" w:lineRule="exact"/>
        <w:ind w:firstLine="640"/>
        <w:jc w:val="both"/>
      </w:pPr>
      <w:r>
        <w:rPr>
          <w:rFonts w:ascii="仿宋_GB2312" w:hAnsi="仿宋_GB2312" w:eastAsia="仿宋_GB2312"/>
          <w:b w:val="0"/>
          <w:sz w:val="32"/>
        </w:rPr>
        <w:t>4.教育支出（类）其他教育支出（款）其他教育支出（项）：支出决算数为0.00万元，比上年决算减少0.01万元，下降100.00%，主要原因是：本年减少自治区人才发展专项资金。</w:t>
      </w:r>
    </w:p>
    <w:p w14:paraId="4FD2A2CA">
      <w:pPr>
        <w:spacing w:line="580" w:lineRule="exact"/>
        <w:ind w:firstLine="640"/>
        <w:jc w:val="both"/>
      </w:pPr>
      <w:r>
        <w:rPr>
          <w:rFonts w:ascii="仿宋_GB2312" w:hAnsi="仿宋_GB2312" w:eastAsia="仿宋_GB2312"/>
          <w:b w:val="0"/>
          <w:sz w:val="32"/>
        </w:rPr>
        <w:t>5.科学技术支出（类）科学技术管理事务（款）一般行政管理事务（项）：支出决算数为0.00万元，比上年决算减少0.09万元，下降100.00%，主要原因是：本年减少决策研究与咨询项目（第一批）。</w:t>
      </w:r>
    </w:p>
    <w:p w14:paraId="005C37C5">
      <w:pPr>
        <w:spacing w:line="580" w:lineRule="exact"/>
        <w:ind w:firstLine="640"/>
        <w:jc w:val="both"/>
      </w:pPr>
      <w:r>
        <w:rPr>
          <w:rFonts w:ascii="仿宋_GB2312" w:hAnsi="仿宋_GB2312" w:eastAsia="仿宋_GB2312"/>
          <w:b w:val="0"/>
          <w:sz w:val="32"/>
        </w:rPr>
        <w:t>6.科学技术支出（类）基础研究（款）自然科学基金（项）：支出决算数为0.00万元，比上年决算减少12.51万元，下降100.00%，主要原因是：本年减少自治区创新环境（人才、基地）建设专项、自治区（自然科学基金）联合科学基金计划。</w:t>
      </w:r>
    </w:p>
    <w:p w14:paraId="3B83A2CA">
      <w:pPr>
        <w:spacing w:line="580" w:lineRule="exact"/>
        <w:ind w:firstLine="640"/>
        <w:jc w:val="both"/>
      </w:pPr>
      <w:r>
        <w:rPr>
          <w:rFonts w:ascii="仿宋_GB2312" w:hAnsi="仿宋_GB2312" w:eastAsia="仿宋_GB2312"/>
          <w:b w:val="0"/>
          <w:sz w:val="32"/>
        </w:rPr>
        <w:t>7.科学技术支出（类）基础研究（款）实验室及相关设施（项）：支出决算数为84.76万元，比上年决算增加5.83万元，增长7.39%，主要原因是：2025年执行高校科研计划项目结转资金，相应支出增加。</w:t>
      </w:r>
    </w:p>
    <w:p w14:paraId="10B96DC2">
      <w:pPr>
        <w:spacing w:line="580" w:lineRule="exact"/>
        <w:ind w:firstLine="640"/>
        <w:jc w:val="both"/>
      </w:pPr>
      <w:r>
        <w:rPr>
          <w:rFonts w:ascii="仿宋_GB2312" w:hAnsi="仿宋_GB2312" w:eastAsia="仿宋_GB2312"/>
          <w:b w:val="0"/>
          <w:sz w:val="32"/>
        </w:rPr>
        <w:t>8.科学技术支出（类）基础研究（款）科技人才队伍建设（项）：支出决算数为1,860.57万元，比上年决算增加258.28万元，增长16.12%，主要原因是：新疆人才发展基金2024年度第一轮支持资金结转至2025年执行完毕，相应支出增加。</w:t>
      </w:r>
    </w:p>
    <w:p w14:paraId="225B8373">
      <w:pPr>
        <w:spacing w:line="580" w:lineRule="exact"/>
        <w:ind w:firstLine="640"/>
        <w:jc w:val="both"/>
      </w:pPr>
      <w:r>
        <w:rPr>
          <w:rFonts w:ascii="仿宋_GB2312" w:hAnsi="仿宋_GB2312" w:eastAsia="仿宋_GB2312"/>
          <w:b w:val="0"/>
          <w:sz w:val="32"/>
        </w:rPr>
        <w:t>9.科学技术支出（类）基础研究（款）其他基础研究支出（项）：支出决算数为2.66万元，比上年决算减少10.46万元，下降79.73%，主要原因是：本年减少科研创新平台人才团队支持计划项目。</w:t>
      </w:r>
    </w:p>
    <w:p w14:paraId="7D7EDE07">
      <w:pPr>
        <w:spacing w:line="580" w:lineRule="exact"/>
        <w:ind w:firstLine="640"/>
        <w:jc w:val="both"/>
      </w:pPr>
      <w:r>
        <w:rPr>
          <w:rFonts w:ascii="仿宋_GB2312" w:hAnsi="仿宋_GB2312" w:eastAsia="仿宋_GB2312"/>
          <w:b w:val="0"/>
          <w:sz w:val="32"/>
        </w:rPr>
        <w:t>10.科学技术支出（类）技术研究与开发（款）科技成果转化与扩散（项）：支出决算数为0.00万元，比上年决算减少3.76万元，下降100.00%，主要原因是：本年减少自治区科技成果转化示范专项-科技精准脱贫攻坚（科技特派员扶贫行动）项目。</w:t>
      </w:r>
    </w:p>
    <w:p w14:paraId="44693993">
      <w:pPr>
        <w:spacing w:line="580" w:lineRule="exact"/>
        <w:ind w:firstLine="640"/>
        <w:jc w:val="both"/>
      </w:pPr>
      <w:r>
        <w:rPr>
          <w:rFonts w:ascii="仿宋_GB2312" w:hAnsi="仿宋_GB2312" w:eastAsia="仿宋_GB2312"/>
          <w:b w:val="0"/>
          <w:sz w:val="32"/>
        </w:rPr>
        <w:t>11.科学技术支出（类）科技条件与服务（款）科技条件专项（项）：支出决算数为0.00万元，比上年决算减少0.01万元，下降100.00%，主要原因是：2024年将中央引导地方科技发展专项结转资金执行完毕，2025年无此功能科目专项资金拨款，相应支出减少。</w:t>
      </w:r>
    </w:p>
    <w:p w14:paraId="1EE7742C">
      <w:pPr>
        <w:spacing w:line="580" w:lineRule="exact"/>
        <w:ind w:firstLine="640"/>
        <w:jc w:val="both"/>
      </w:pPr>
      <w:r>
        <w:rPr>
          <w:rFonts w:ascii="仿宋_GB2312" w:hAnsi="仿宋_GB2312" w:eastAsia="仿宋_GB2312"/>
          <w:b w:val="0"/>
          <w:sz w:val="32"/>
        </w:rPr>
        <w:t>12.社会保障和就业支出（类）人力资源和社会保障管理事务（款）其他人力资源和社会保障管理事务支出（项）：支出决算数为538.13万元，比上年决算减少464.87万元，下降46.35%，主要原因是：新疆人才发展基金2025年度支持资金拨款较上年度减少。</w:t>
      </w:r>
    </w:p>
    <w:p w14:paraId="01CEF44E">
      <w:pPr>
        <w:spacing w:line="580" w:lineRule="exact"/>
        <w:ind w:firstLine="640"/>
        <w:jc w:val="both"/>
      </w:pPr>
      <w:r>
        <w:rPr>
          <w:rFonts w:ascii="仿宋_GB2312" w:hAnsi="仿宋_GB2312" w:eastAsia="仿宋_GB2312"/>
          <w:b w:val="0"/>
          <w:sz w:val="32"/>
        </w:rPr>
        <w:t>13.卫生健康支出（类）卫生健康管理事务（款）其他卫生健康管理事务支出（项）：支出决算数为1,853.96万元，比上年决算减少1,116.45万元，下降37.59%，主要原因是：本年中央医疗服务与保障能力提升（卫生健康人才培养）补助资金、自治区医疗服务与保障能力提升项目（卫生健康人才队伍建设）拨款较上年减少。</w:t>
      </w:r>
    </w:p>
    <w:p w14:paraId="3A1FB304">
      <w:pPr>
        <w:spacing w:line="580" w:lineRule="exact"/>
        <w:ind w:firstLine="640"/>
        <w:jc w:val="both"/>
      </w:pPr>
      <w:r>
        <w:rPr>
          <w:rFonts w:ascii="仿宋_GB2312" w:hAnsi="仿宋_GB2312" w:eastAsia="仿宋_GB2312"/>
          <w:b w:val="0"/>
          <w:sz w:val="32"/>
        </w:rPr>
        <w:t>14.卫生健康支出（类）公立医院（款）中医（民族）医院（项）：支出决算数为0.00万元，比上年决算减少3.16万元，下降100.00%，主要原因是：本年减少医疗服务能力与保障能力提升（中医药事业传承与发展）补助资金支出。</w:t>
      </w:r>
    </w:p>
    <w:p w14:paraId="2FAF3BBB">
      <w:pPr>
        <w:spacing w:line="580" w:lineRule="exact"/>
        <w:ind w:firstLine="640"/>
        <w:jc w:val="both"/>
      </w:pPr>
      <w:r>
        <w:rPr>
          <w:rFonts w:ascii="仿宋_GB2312" w:hAnsi="仿宋_GB2312" w:eastAsia="仿宋_GB2312"/>
          <w:b w:val="0"/>
          <w:sz w:val="32"/>
        </w:rPr>
        <w:t>15.卫生健康支出（类）公共卫生（款）重大公共卫生服务（项）：支出决算数为15.00万元，比上年决算增加15.00万元，增长100.00%，主要原因是：2025年新增重大公共卫生服务补助资金项目。</w:t>
      </w:r>
    </w:p>
    <w:p w14:paraId="5F5D79BD">
      <w:pPr>
        <w:spacing w:line="580" w:lineRule="exact"/>
        <w:ind w:firstLine="640"/>
        <w:jc w:val="both"/>
      </w:pPr>
      <w:r>
        <w:rPr>
          <w:rFonts w:ascii="仿宋_GB2312" w:hAnsi="仿宋_GB2312" w:eastAsia="仿宋_GB2312"/>
          <w:b w:val="0"/>
          <w:sz w:val="32"/>
        </w:rPr>
        <w:t>16.卫生健康支出（类）公共卫生（款）突发公共卫生事件应急处置（项）：支出决算数为0.00万元，比上年决算减少40.85万元，下降100.00%，主要原因是：本年减少自治区财政</w:t>
      </w:r>
      <w:r>
        <w:rPr>
          <w:rFonts w:hint="eastAsia" w:ascii="仿宋_GB2312" w:hAnsi="仿宋_GB2312" w:eastAsia="仿宋_GB2312"/>
          <w:b w:val="0"/>
          <w:sz w:val="32"/>
          <w:lang w:eastAsia="zh-CN"/>
        </w:rPr>
        <w:t>YQ</w:t>
      </w:r>
      <w:r>
        <w:rPr>
          <w:rFonts w:ascii="仿宋_GB2312" w:hAnsi="仿宋_GB2312" w:eastAsia="仿宋_GB2312"/>
          <w:b w:val="0"/>
          <w:sz w:val="32"/>
        </w:rPr>
        <w:t>防控补助资金。</w:t>
      </w:r>
    </w:p>
    <w:p w14:paraId="26528361">
      <w:pPr>
        <w:spacing w:line="580" w:lineRule="exact"/>
        <w:ind w:firstLine="640"/>
        <w:jc w:val="both"/>
      </w:pPr>
      <w:r>
        <w:rPr>
          <w:rFonts w:ascii="仿宋_GB2312" w:hAnsi="仿宋_GB2312" w:eastAsia="仿宋_GB2312"/>
          <w:b w:val="0"/>
          <w:sz w:val="32"/>
        </w:rPr>
        <w:t>17.卫生健康支出（类）医疗保障管理事务（款）其他医疗保障管理事务支出（项）：支出决算数为0.00万元，比上年决算减少18.07万元，下降100.00%，主要原因是：本年减少自治区在校大学生医疗补助金项目。</w:t>
      </w:r>
    </w:p>
    <w:p w14:paraId="5D0B7EB8">
      <w:pPr>
        <w:spacing w:line="580" w:lineRule="exact"/>
        <w:ind w:firstLine="640"/>
        <w:jc w:val="both"/>
      </w:pPr>
      <w:r>
        <w:rPr>
          <w:rFonts w:ascii="仿宋_GB2312" w:hAnsi="仿宋_GB2312" w:eastAsia="仿宋_GB2312"/>
          <w:b w:val="0"/>
          <w:sz w:val="32"/>
        </w:rPr>
        <w:t>18.卫生健康支出（类）中医药事务（款）中医（民族医）药专项（项）：支出决算数为4.24万元，比上年决算减少104.90万元，下降96.12%，主要原因是：医疗服务与保障能力提升（中医药事业传承与发展部分）补助资金拨款较上年减少。</w:t>
      </w:r>
    </w:p>
    <w:p w14:paraId="7E7F264B">
      <w:pPr>
        <w:spacing w:line="580" w:lineRule="exact"/>
        <w:ind w:firstLine="640"/>
        <w:jc w:val="both"/>
      </w:pPr>
      <w:r>
        <w:rPr>
          <w:rFonts w:ascii="仿宋_GB2312" w:hAnsi="仿宋_GB2312" w:eastAsia="仿宋_GB2312"/>
          <w:b w:val="0"/>
          <w:sz w:val="32"/>
        </w:rPr>
        <w:t>19.节能环保支出（类）能源节约利用（款）能源节约利用（项）：支出决算数为15.27万元，比上年决算增加11.67万元，增长324.17%，主要原因是：2025年自治区全社会节能减排专项资金拨款较上年增长。</w:t>
      </w:r>
    </w:p>
    <w:p w14:paraId="09612C6E">
      <w:pPr>
        <w:spacing w:line="640" w:lineRule="exact"/>
        <w:ind w:firstLine="640"/>
        <w:jc w:val="both"/>
        <w:outlineLvl w:val="2"/>
      </w:pPr>
      <w:r>
        <w:rPr>
          <w:rFonts w:ascii="黑体" w:hAnsi="黑体" w:eastAsia="黑体"/>
          <w:sz w:val="32"/>
        </w:rPr>
        <w:t>六、一般公共预算财政拨款基本支出决算情况说明</w:t>
      </w:r>
    </w:p>
    <w:p w14:paraId="2F117B6D">
      <w:pPr>
        <w:spacing w:line="580" w:lineRule="exact"/>
        <w:ind w:firstLine="640"/>
        <w:jc w:val="both"/>
      </w:pPr>
      <w:r>
        <w:rPr>
          <w:rFonts w:ascii="仿宋_GB2312" w:hAnsi="仿宋_GB2312" w:eastAsia="仿宋_GB2312"/>
          <w:b w:val="0"/>
          <w:sz w:val="32"/>
        </w:rPr>
        <w:t>2025年度一般公共预算财政拨款基本支出64,049.81万元，其中：</w:t>
      </w:r>
      <w:r>
        <w:rPr>
          <w:rFonts w:ascii="仿宋_GB2312" w:hAnsi="仿宋_GB2312" w:eastAsia="仿宋_GB2312"/>
          <w:b/>
          <w:sz w:val="32"/>
        </w:rPr>
        <w:t>人员经费53,136.65万元，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离休费、退休费、退职（役）费、抚恤金、生活补助、医疗费补助、奖励金、其他对个人和家庭的补助。</w:t>
      </w:r>
    </w:p>
    <w:p w14:paraId="730DE3FE">
      <w:pPr>
        <w:spacing w:line="580" w:lineRule="exact"/>
        <w:ind w:firstLine="640"/>
        <w:jc w:val="both"/>
      </w:pPr>
      <w:r>
        <w:rPr>
          <w:rFonts w:ascii="仿宋_GB2312" w:hAnsi="仿宋_GB2312" w:eastAsia="仿宋_GB2312"/>
          <w:b/>
          <w:sz w:val="32"/>
        </w:rPr>
        <w:t>公用经费10,913.16万元，</w:t>
      </w:r>
      <w:r>
        <w:rPr>
          <w:rFonts w:ascii="仿宋_GB2312" w:hAnsi="仿宋_GB2312" w:eastAsia="仿宋_GB2312"/>
          <w:b w:val="0"/>
          <w:sz w:val="32"/>
        </w:rPr>
        <w:t>包括：办公费、印刷费、手续费、水费、电费、邮电费、取暖费、物业管理费、差旅费、维修（护）费、租赁费、会议费、培训费、专用材料费、专用燃料费、劳务费、委托业务费、工会经费、福利费、其他交通费用、税金及附加费用、其他商品和服务支出。</w:t>
      </w:r>
    </w:p>
    <w:p w14:paraId="7292C559">
      <w:pPr>
        <w:spacing w:line="640" w:lineRule="exact"/>
        <w:ind w:firstLine="640"/>
        <w:jc w:val="both"/>
        <w:outlineLvl w:val="2"/>
      </w:pPr>
      <w:r>
        <w:rPr>
          <w:rFonts w:ascii="黑体" w:hAnsi="黑体" w:eastAsia="黑体"/>
          <w:sz w:val="32"/>
        </w:rPr>
        <w:t>七、政府性基金预算财政拨款收入支出决算情况说明</w:t>
      </w:r>
    </w:p>
    <w:p w14:paraId="5C53021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F13D702">
      <w:pPr>
        <w:spacing w:line="640" w:lineRule="exact"/>
        <w:ind w:firstLine="640"/>
        <w:jc w:val="both"/>
        <w:outlineLvl w:val="2"/>
      </w:pPr>
      <w:r>
        <w:rPr>
          <w:rFonts w:ascii="黑体" w:hAnsi="黑体" w:eastAsia="黑体"/>
          <w:sz w:val="32"/>
        </w:rPr>
        <w:t>八、国有资本经营预算财政拨款收入支出决算情况说明</w:t>
      </w:r>
    </w:p>
    <w:p w14:paraId="6703427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10EE947">
      <w:pPr>
        <w:spacing w:line="640" w:lineRule="exact"/>
        <w:ind w:firstLine="640"/>
        <w:jc w:val="both"/>
        <w:outlineLvl w:val="2"/>
      </w:pPr>
      <w:r>
        <w:rPr>
          <w:rFonts w:ascii="黑体" w:hAnsi="黑体" w:eastAsia="黑体"/>
          <w:sz w:val="32"/>
        </w:rPr>
        <w:t>九、财政拨款“三公”经费支出决算情况说明</w:t>
      </w:r>
    </w:p>
    <w:p w14:paraId="7A2B5D61">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减少32.04万元，下降100.00%，主要原因是：本年严格执行中央八项规定，厉行节约，无财政拨款“三公”经费支出。其中：因公出国（境）费用支出0.00万元，占0.00%，比上年增加0.00万元，增长0.00%，主要原因是：2024年与2025年均无因公出国（境）费用支出。公务用车购置及运行维护费支出0.00万元，占0.00%，比上年减少32.04万元，下降100.00%，主要原因是：本年严格执行中央八项规定，厉行节约，无公务用车购置及运行维护费支出。公务接待费支出0.00万元，占0.00%，比上年增加0.00万元，增长0.00%，主要原因是：2024年与2025年均无公务接待费支出。</w:t>
      </w:r>
    </w:p>
    <w:p w14:paraId="15FBE175">
      <w:pPr>
        <w:spacing w:line="580" w:lineRule="exact"/>
        <w:ind w:firstLine="640"/>
        <w:jc w:val="both"/>
      </w:pPr>
      <w:r>
        <w:rPr>
          <w:rFonts w:ascii="仿宋_GB2312" w:hAnsi="仿宋_GB2312" w:eastAsia="仿宋_GB2312"/>
          <w:b/>
          <w:sz w:val="32"/>
        </w:rPr>
        <w:t>具体情况如下：</w:t>
      </w:r>
    </w:p>
    <w:p w14:paraId="4D4EB148">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2E7BBD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40辆，与公务用车保有量差异原因是：</w:t>
      </w:r>
      <w:r>
        <w:rPr>
          <w:rFonts w:hint="eastAsia" w:ascii="仿宋_GB2312" w:hAnsi="仿宋_GB2312" w:eastAsia="仿宋_GB2312"/>
          <w:b w:val="0"/>
          <w:sz w:val="32"/>
        </w:rPr>
        <w:t>差异车辆为单位业务用车，预算未安排公务用车运行维护费</w:t>
      </w:r>
      <w:bookmarkStart w:id="0" w:name="_GoBack"/>
      <w:bookmarkEnd w:id="0"/>
      <w:r>
        <w:rPr>
          <w:rFonts w:ascii="仿宋_GB2312" w:hAnsi="仿宋_GB2312" w:eastAsia="仿宋_GB2312"/>
          <w:b w:val="0"/>
          <w:sz w:val="32"/>
        </w:rPr>
        <w:t>。</w:t>
      </w:r>
    </w:p>
    <w:p w14:paraId="0690F4C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5EF16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37E70AC">
      <w:pPr>
        <w:spacing w:line="640" w:lineRule="exact"/>
        <w:ind w:firstLine="640"/>
        <w:jc w:val="both"/>
        <w:outlineLvl w:val="2"/>
      </w:pPr>
      <w:r>
        <w:rPr>
          <w:rFonts w:ascii="黑体" w:hAnsi="黑体" w:eastAsia="黑体"/>
          <w:sz w:val="32"/>
        </w:rPr>
        <w:t>十、其他重要事项的情况说明</w:t>
      </w:r>
    </w:p>
    <w:p w14:paraId="6D2C8203">
      <w:pPr>
        <w:spacing w:line="640" w:lineRule="exact"/>
        <w:ind w:firstLine="640"/>
        <w:jc w:val="both"/>
        <w:outlineLvl w:val="3"/>
      </w:pPr>
      <w:r>
        <w:rPr>
          <w:rFonts w:ascii="楷体_GB2312" w:hAnsi="楷体_GB2312" w:eastAsia="楷体_GB2312"/>
          <w:b/>
          <w:sz w:val="32"/>
        </w:rPr>
        <w:t>（一）机关运行经费及公用经费支出情况</w:t>
      </w:r>
    </w:p>
    <w:p w14:paraId="229E40D7">
      <w:pPr>
        <w:spacing w:line="580" w:lineRule="exact"/>
        <w:ind w:firstLine="640"/>
        <w:jc w:val="both"/>
      </w:pPr>
      <w:r>
        <w:rPr>
          <w:rFonts w:ascii="仿宋_GB2312" w:hAnsi="仿宋_GB2312" w:eastAsia="仿宋_GB2312"/>
          <w:b w:val="0"/>
          <w:sz w:val="32"/>
        </w:rPr>
        <w:t>2025年度新疆医科大学（本级）（事业单位）公用经费支出10,913.16万元，比上年减少9,375.66万元，下降46.21%，主要原因是：2025年部分运行支出从学校财政专户和基本户等非财拨资金中承担，公用经费支出减少。</w:t>
      </w:r>
    </w:p>
    <w:p w14:paraId="1B09F840">
      <w:pPr>
        <w:spacing w:line="640" w:lineRule="exact"/>
        <w:ind w:firstLine="640"/>
        <w:jc w:val="both"/>
        <w:outlineLvl w:val="3"/>
      </w:pPr>
      <w:r>
        <w:rPr>
          <w:rFonts w:ascii="楷体_GB2312" w:hAnsi="楷体_GB2312" w:eastAsia="楷体_GB2312"/>
          <w:b/>
          <w:sz w:val="32"/>
        </w:rPr>
        <w:t>（二）政府采购情况</w:t>
      </w:r>
    </w:p>
    <w:p w14:paraId="44F2B1E7">
      <w:pPr>
        <w:spacing w:line="580" w:lineRule="exact"/>
        <w:ind w:firstLine="640"/>
        <w:jc w:val="both"/>
      </w:pPr>
      <w:r>
        <w:rPr>
          <w:rFonts w:ascii="仿宋_GB2312" w:hAnsi="仿宋_GB2312" w:eastAsia="仿宋_GB2312"/>
          <w:b w:val="0"/>
          <w:sz w:val="32"/>
        </w:rPr>
        <w:t>2025年度政府采购支出总额36,497.70万元，其中：政府采购货物支出20,657.82万元、政府采购工程支出9,201.75万元、政府采购服务支出6,638.14万元。</w:t>
      </w:r>
    </w:p>
    <w:p w14:paraId="3886F7CD">
      <w:pPr>
        <w:spacing w:line="580" w:lineRule="exact"/>
        <w:ind w:firstLine="640"/>
        <w:jc w:val="both"/>
      </w:pPr>
      <w:r>
        <w:rPr>
          <w:rFonts w:ascii="仿宋_GB2312" w:hAnsi="仿宋_GB2312" w:eastAsia="仿宋_GB2312"/>
          <w:b w:val="0"/>
          <w:sz w:val="32"/>
        </w:rPr>
        <w:t>授予中小企业合同金额15,994.91万元，占政府采购支出总额的43.82%，其中：授予小微企业合同金额12,151.14万元，占政府采购支出总额的33.29%。</w:t>
      </w:r>
    </w:p>
    <w:p w14:paraId="57B8E755">
      <w:pPr>
        <w:spacing w:line="640" w:lineRule="exact"/>
        <w:ind w:firstLine="640"/>
        <w:jc w:val="both"/>
        <w:outlineLvl w:val="3"/>
      </w:pPr>
      <w:r>
        <w:rPr>
          <w:rFonts w:ascii="楷体_GB2312" w:hAnsi="楷体_GB2312" w:eastAsia="楷体_GB2312"/>
          <w:b/>
          <w:sz w:val="32"/>
        </w:rPr>
        <w:t>（三）国有资产占用情况说明</w:t>
      </w:r>
    </w:p>
    <w:p w14:paraId="1AB3B51F">
      <w:pPr>
        <w:spacing w:line="580" w:lineRule="exact"/>
        <w:ind w:firstLine="640"/>
        <w:jc w:val="both"/>
      </w:pPr>
      <w:r>
        <w:rPr>
          <w:rFonts w:ascii="仿宋_GB2312" w:hAnsi="仿宋_GB2312" w:eastAsia="仿宋_GB2312"/>
          <w:b w:val="0"/>
          <w:sz w:val="32"/>
        </w:rPr>
        <w:t>截至2025年12月31日，房屋1,184,989.91平方米，价值371,799.23万元。车辆40辆，价值1,056.92万元，其中：副部（省）级及以上领导用车0辆、主要负责人用车0辆、机要通信用车0辆、应急保障用车0辆、执法执勤用车0辆、特种专业技术用车0辆、离退休干部服务用车0辆、其他用车40辆，其他用车主要是：单位业务用车。单价100万元（含）以上设备（不含车辆）47台（套）。</w:t>
      </w:r>
    </w:p>
    <w:p w14:paraId="7DA053DD">
      <w:pPr>
        <w:spacing w:line="640" w:lineRule="exact"/>
        <w:ind w:firstLine="640"/>
        <w:jc w:val="both"/>
        <w:outlineLvl w:val="2"/>
      </w:pPr>
      <w:r>
        <w:rPr>
          <w:rFonts w:ascii="黑体" w:hAnsi="黑体" w:eastAsia="黑体"/>
          <w:sz w:val="32"/>
        </w:rPr>
        <w:t>十一、预算绩效的情况说明</w:t>
      </w:r>
    </w:p>
    <w:p w14:paraId="5F7CCE00">
      <w:pPr>
        <w:spacing w:line="580" w:lineRule="exact"/>
        <w:ind w:firstLine="640"/>
        <w:jc w:val="both"/>
      </w:pPr>
      <w:r>
        <w:rPr>
          <w:rFonts w:ascii="仿宋_GB2312" w:hAnsi="仿宋_GB2312" w:eastAsia="仿宋_GB2312"/>
          <w:b w:val="0"/>
          <w:sz w:val="32"/>
        </w:rPr>
        <w:t>根据预算绩效管理要求，本单位预算绩效评价项目3个，全年预算数99,823.92万元，全年执行数64,731.52万元。预算绩效管理取得的成效：一是学校结合医学高等教育特点，重点围绕人才培养质量、学科建设水平、科研成果产出、医疗服务能力等核心指标，科学设置绩效目标和指标值，确保绩效目标可量化、可考核、能反映资金使用效益；二是学校着力推动绩效评价结果与预算安排、政策调整、管理改进“三挂钩”；三是对绩效评价结果优秀的项目，优先保障资金需求；对绩效评价结果较差的项目，适当压减下年度预算规模。发现的问题及原因：部分项目绩效目标设定不够科学精细，存在指标值偏低、与项目实施内容匹配度不高等问题，原因为部分项目负责人对预算绩效管理政策的理解和重视程度不够，习惯于传统“重投入、轻产出”的管理模式。下一步改进措施：进一步强化绩效目标管理，建立绩效目标编制分类指导机制，针对教学类、科研类、基础设施类、公共服务类等不同类型项目，提升编制的科学性和可操作性。具体附项目支出绩效自评表、项目支出绩效评价报告。</w:t>
      </w:r>
    </w:p>
    <w:p w14:paraId="7B19F23B">
      <w:r>
        <w:br w:type="page"/>
      </w:r>
    </w:p>
    <w:p w14:paraId="4C91889F">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A53FF00">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01311EF">
            <w:pPr>
              <w:spacing w:before="0" w:after="0" w:line="240" w:lineRule="auto"/>
              <w:jc w:val="center"/>
            </w:pPr>
            <w:r>
              <w:rPr>
                <w:rFonts w:ascii="宋体" w:hAnsi="宋体" w:eastAsia="宋体"/>
                <w:b/>
                <w:i w:val="0"/>
                <w:sz w:val="32"/>
              </w:rPr>
              <w:t>项目支出绩效自评表</w:t>
            </w:r>
          </w:p>
        </w:tc>
      </w:tr>
      <w:tr w14:paraId="1B183E1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5408CC3">
            <w:pPr>
              <w:spacing w:before="0" w:after="0" w:line="240" w:lineRule="auto"/>
              <w:jc w:val="center"/>
            </w:pPr>
            <w:r>
              <w:rPr>
                <w:rFonts w:ascii="宋体" w:hAnsi="宋体" w:eastAsia="宋体"/>
                <w:b w:val="0"/>
                <w:i w:val="0"/>
                <w:sz w:val="22"/>
              </w:rPr>
              <w:t>(2025年度)</w:t>
            </w:r>
          </w:p>
        </w:tc>
      </w:tr>
      <w:tr w14:paraId="28B8BE2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41320">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66F494B">
            <w:pPr>
              <w:spacing w:before="0" w:after="0" w:line="240" w:lineRule="auto"/>
              <w:jc w:val="center"/>
            </w:pPr>
            <w:r>
              <w:rPr>
                <w:rFonts w:ascii="宋体" w:hAnsi="宋体" w:eastAsia="宋体"/>
                <w:b w:val="0"/>
                <w:i w:val="0"/>
                <w:sz w:val="18"/>
              </w:rPr>
              <w:t>2025年自治区年初预算项目资金-年初生均拨款预算项目</w:t>
            </w:r>
          </w:p>
        </w:tc>
      </w:tr>
      <w:tr w14:paraId="32D6502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85BA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A23C4D">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0346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FDA0C9">
            <w:pPr>
              <w:spacing w:before="0" w:after="0" w:line="240" w:lineRule="auto"/>
              <w:jc w:val="center"/>
            </w:pPr>
            <w:r>
              <w:rPr>
                <w:rFonts w:ascii="宋体" w:hAnsi="宋体" w:eastAsia="宋体"/>
                <w:b w:val="0"/>
                <w:i w:val="0"/>
                <w:sz w:val="18"/>
              </w:rPr>
              <w:t>新疆医科大学（本级）</w:t>
            </w:r>
          </w:p>
        </w:tc>
      </w:tr>
      <w:tr w14:paraId="4B5B38D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B75E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CB1B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E32D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B3BA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996B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0D57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B6B89">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949AD">
            <w:pPr>
              <w:spacing w:before="0" w:after="0" w:line="240" w:lineRule="auto"/>
              <w:jc w:val="center"/>
            </w:pPr>
            <w:r>
              <w:rPr>
                <w:rFonts w:ascii="宋体" w:hAnsi="宋体" w:eastAsia="宋体"/>
                <w:b/>
                <w:i w:val="0"/>
                <w:sz w:val="18"/>
              </w:rPr>
              <w:t>得分</w:t>
            </w:r>
          </w:p>
        </w:tc>
      </w:tr>
      <w:tr w14:paraId="12673B3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1DFBC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1A6B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2C791">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C73D4">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72645">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CFD25">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056E6">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65D67">
            <w:pPr>
              <w:spacing w:before="0" w:after="0" w:line="240" w:lineRule="auto"/>
              <w:jc w:val="center"/>
            </w:pPr>
            <w:r>
              <w:rPr>
                <w:rFonts w:ascii="宋体" w:hAnsi="宋体" w:eastAsia="宋体"/>
                <w:b w:val="0"/>
                <w:i w:val="0"/>
                <w:sz w:val="18"/>
              </w:rPr>
              <w:t>10.00</w:t>
            </w:r>
          </w:p>
        </w:tc>
      </w:tr>
      <w:tr w14:paraId="0DC999A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DA2833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1C59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0458D">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72553">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F77A0">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3D1D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4DF8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625B7">
            <w:pPr>
              <w:spacing w:before="0" w:after="0" w:line="240" w:lineRule="auto"/>
              <w:jc w:val="center"/>
            </w:pPr>
            <w:r>
              <w:rPr>
                <w:rFonts w:ascii="宋体" w:hAnsi="宋体" w:eastAsia="宋体"/>
                <w:b w:val="0"/>
                <w:i w:val="0"/>
                <w:sz w:val="18"/>
              </w:rPr>
              <w:t>—</w:t>
            </w:r>
          </w:p>
        </w:tc>
      </w:tr>
      <w:tr w14:paraId="6D04964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5BADDE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48807">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9A1C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1D1A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C8F5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562E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3D50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25DAD">
            <w:pPr>
              <w:spacing w:before="0" w:after="0" w:line="240" w:lineRule="auto"/>
              <w:jc w:val="center"/>
            </w:pPr>
            <w:r>
              <w:rPr>
                <w:rFonts w:ascii="宋体" w:hAnsi="宋体" w:eastAsia="宋体"/>
                <w:b w:val="0"/>
                <w:i w:val="0"/>
                <w:sz w:val="18"/>
              </w:rPr>
              <w:t>—</w:t>
            </w:r>
          </w:p>
        </w:tc>
      </w:tr>
      <w:tr w14:paraId="7D77735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D7351">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415B0E">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11CF83">
            <w:pPr>
              <w:spacing w:before="0" w:after="0" w:line="240" w:lineRule="auto"/>
              <w:jc w:val="center"/>
            </w:pPr>
            <w:r>
              <w:rPr>
                <w:rFonts w:ascii="宋体" w:hAnsi="宋体" w:eastAsia="宋体"/>
                <w:b/>
                <w:i w:val="0"/>
                <w:sz w:val="18"/>
              </w:rPr>
              <w:t>实际完成情况</w:t>
            </w:r>
          </w:p>
        </w:tc>
      </w:tr>
      <w:tr w14:paraId="7CAEF6A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C1BD5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7F9144">
            <w:pPr>
              <w:spacing w:before="0" w:after="0" w:line="240" w:lineRule="auto"/>
              <w:jc w:val="center"/>
            </w:pPr>
            <w:r>
              <w:rPr>
                <w:rFonts w:ascii="宋体" w:hAnsi="宋体" w:eastAsia="宋体"/>
                <w:b w:val="0"/>
                <w:i w:val="0"/>
                <w:sz w:val="18"/>
              </w:rPr>
              <w:t>学校党委领导班子坚持以习近平新时代中国特色社会主义思想为指导，深入贯彻落实党的二十大精神，贯彻落实习近平总书记在听取自治区和兵团工作汇报时的重要讲话精神，贯彻落实自治区党委十届七次、八次、九次全会精神和自治区教育大会、科技创新大会精神，完整准确全面贯彻新时代党的治疆方略，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2292C9">
            <w:pPr>
              <w:spacing w:before="0" w:after="0" w:line="240" w:lineRule="auto"/>
              <w:jc w:val="center"/>
            </w:pPr>
            <w:r>
              <w:rPr>
                <w:rFonts w:ascii="宋体" w:hAnsi="宋体" w:eastAsia="宋体"/>
                <w:b w:val="0"/>
                <w:i w:val="0"/>
                <w:sz w:val="18"/>
              </w:rPr>
              <w:t>学校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r>
      <w:tr w14:paraId="30FCC63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CC7F6">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11A8F">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32F68">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FDF40">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B60F9">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B715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D533D">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6969B">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A8C00">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512C4">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0F044">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7EFD8">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B205E">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5E799">
            <w:pPr>
              <w:keepNext/>
              <w:spacing w:before="0" w:after="0" w:line="240" w:lineRule="auto"/>
              <w:jc w:val="center"/>
            </w:pPr>
            <w:r>
              <w:rPr>
                <w:rFonts w:ascii="宋体" w:hAnsi="宋体" w:eastAsia="宋体"/>
                <w:b/>
                <w:i w:val="0"/>
                <w:sz w:val="18"/>
              </w:rPr>
              <w:t>偏差原因分析及改进措施</w:t>
            </w:r>
          </w:p>
        </w:tc>
      </w:tr>
      <w:tr w14:paraId="7B6C3AFD">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BEB0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2FE95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2F5F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8AC8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0B4E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226B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09BD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DD75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37B6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1867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A5E2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893F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69D4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C62583"/>
        </w:tc>
      </w:tr>
      <w:tr w14:paraId="0A9D564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66A5C">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19704">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73B2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4F4DC">
            <w:pPr>
              <w:keepNext/>
              <w:spacing w:before="0" w:after="0" w:line="240" w:lineRule="auto"/>
              <w:jc w:val="center"/>
            </w:pPr>
            <w:r>
              <w:rPr>
                <w:rFonts w:ascii="宋体" w:hAnsi="宋体" w:eastAsia="宋体"/>
                <w:b w:val="0"/>
                <w:i w:val="0"/>
                <w:sz w:val="18"/>
              </w:rPr>
              <w:t>采暖工程入廊</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1BC88">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40D45">
            <w:pPr>
              <w:keepNext/>
              <w:spacing w:before="0" w:after="0" w:line="240" w:lineRule="auto"/>
              <w:jc w:val="center"/>
            </w:pPr>
            <w:r>
              <w:rPr>
                <w:rFonts w:ascii="宋体" w:hAnsi="宋体" w:eastAsia="宋体"/>
                <w:b w:val="0"/>
                <w:i w:val="0"/>
                <w:sz w:val="18"/>
              </w:rPr>
              <w:t>≥33501.33米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3715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F90A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8271D">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83166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5545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7DEC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5F0E7D">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F3BF6">
            <w:pPr>
              <w:keepNext/>
              <w:spacing w:before="0" w:after="0" w:line="240" w:lineRule="auto"/>
              <w:jc w:val="center"/>
            </w:pPr>
          </w:p>
        </w:tc>
      </w:tr>
      <w:tr w14:paraId="175EC6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8662F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D1478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163E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C2483">
            <w:pPr>
              <w:keepNext/>
              <w:spacing w:before="0" w:after="0" w:line="240" w:lineRule="auto"/>
              <w:jc w:val="center"/>
            </w:pPr>
            <w:r>
              <w:rPr>
                <w:rFonts w:ascii="宋体" w:hAnsi="宋体" w:eastAsia="宋体"/>
                <w:b w:val="0"/>
                <w:i w:val="0"/>
                <w:sz w:val="18"/>
              </w:rPr>
              <w:t>医学类图书购置数量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E5118">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B1FA7">
            <w:pPr>
              <w:keepNext/>
              <w:spacing w:before="0" w:after="0" w:line="240" w:lineRule="auto"/>
              <w:jc w:val="center"/>
            </w:pPr>
            <w:r>
              <w:rPr>
                <w:rFonts w:ascii="宋体" w:hAnsi="宋体" w:eastAsia="宋体"/>
                <w:b w:val="0"/>
                <w:i w:val="0"/>
                <w:sz w:val="18"/>
              </w:rPr>
              <w:t>&gt;=1.5万册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48693">
            <w:pPr>
              <w:keepNext/>
              <w:spacing w:before="0" w:after="0" w:line="240" w:lineRule="auto"/>
              <w:jc w:val="center"/>
            </w:pPr>
            <w:r>
              <w:rPr>
                <w:rFonts w:ascii="宋体" w:hAnsi="宋体" w:eastAsia="宋体"/>
                <w:b w:val="0"/>
                <w:i w:val="0"/>
                <w:sz w:val="18"/>
              </w:rPr>
              <w:t>=1.57万册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31AE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3D6EF">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384F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03F3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77A8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49A05">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F94E3">
            <w:pPr>
              <w:keepNext/>
              <w:spacing w:before="0" w:after="0" w:line="240" w:lineRule="auto"/>
              <w:jc w:val="center"/>
            </w:pPr>
          </w:p>
        </w:tc>
      </w:tr>
      <w:tr w14:paraId="03CCD02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56C13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419D7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C3F1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CD95D2">
            <w:pPr>
              <w:keepNext/>
              <w:spacing w:before="0" w:after="0" w:line="240" w:lineRule="auto"/>
              <w:jc w:val="center"/>
            </w:pPr>
            <w:r>
              <w:rPr>
                <w:rFonts w:ascii="宋体" w:hAnsi="宋体" w:eastAsia="宋体"/>
                <w:b w:val="0"/>
                <w:i w:val="0"/>
                <w:sz w:val="18"/>
              </w:rPr>
              <w:t>教学设备购置数量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56A0B">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40601">
            <w:pPr>
              <w:keepNext/>
              <w:spacing w:before="0" w:after="0" w:line="240" w:lineRule="auto"/>
              <w:jc w:val="center"/>
            </w:pPr>
            <w:r>
              <w:rPr>
                <w:rFonts w:ascii="宋体" w:hAnsi="宋体" w:eastAsia="宋体"/>
                <w:b w:val="0"/>
                <w:i w:val="0"/>
                <w:sz w:val="18"/>
              </w:rPr>
              <w:t>&gt;=200台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25BD1">
            <w:pPr>
              <w:keepNext/>
              <w:spacing w:before="0" w:after="0" w:line="240" w:lineRule="auto"/>
              <w:jc w:val="center"/>
            </w:pPr>
            <w:r>
              <w:rPr>
                <w:rFonts w:ascii="宋体" w:hAnsi="宋体" w:eastAsia="宋体"/>
                <w:b w:val="0"/>
                <w:i w:val="0"/>
                <w:sz w:val="18"/>
              </w:rPr>
              <w:t>=562台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CF7A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B3BA3">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94CF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E1A1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3CEE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8C3ED">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AECC1">
            <w:pPr>
              <w:keepNext/>
              <w:spacing w:before="0" w:after="0" w:line="240" w:lineRule="auto"/>
              <w:jc w:val="center"/>
            </w:pPr>
          </w:p>
        </w:tc>
      </w:tr>
      <w:tr w14:paraId="68DAFC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1672A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B9350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FE6D6">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116F8C">
            <w:pPr>
              <w:keepNext/>
              <w:spacing w:before="0" w:after="0" w:line="240" w:lineRule="auto"/>
              <w:jc w:val="center"/>
            </w:pPr>
            <w:r>
              <w:rPr>
                <w:rFonts w:ascii="宋体" w:hAnsi="宋体" w:eastAsia="宋体"/>
                <w:b w:val="0"/>
                <w:i w:val="0"/>
                <w:sz w:val="18"/>
              </w:rPr>
              <w:t>百佳出版社、医学专业出版社、科技类出版社、教育类出版社图书占比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B86EA">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D60B0">
            <w:pPr>
              <w:keepNext/>
              <w:spacing w:before="0" w:after="0" w:line="240" w:lineRule="auto"/>
              <w:jc w:val="center"/>
            </w:pPr>
            <w:r>
              <w:rPr>
                <w:rFonts w:ascii="宋体" w:hAnsi="宋体" w:eastAsia="宋体"/>
                <w:b w:val="0"/>
                <w:i w:val="0"/>
                <w:sz w:val="18"/>
              </w:rPr>
              <w:t>&gt;=60%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F590E">
            <w:pPr>
              <w:keepNext/>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DBA7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3FEA2">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B765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57C2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43AB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F5392">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F6150">
            <w:pPr>
              <w:keepNext/>
              <w:spacing w:before="0" w:after="0" w:line="240" w:lineRule="auto"/>
              <w:jc w:val="center"/>
            </w:pPr>
          </w:p>
        </w:tc>
      </w:tr>
      <w:tr w14:paraId="2C956E6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106C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A356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573A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D8FA0">
            <w:pPr>
              <w:spacing w:before="0" w:after="0" w:line="240" w:lineRule="auto"/>
              <w:jc w:val="center"/>
            </w:pPr>
            <w:r>
              <w:rPr>
                <w:rFonts w:ascii="宋体" w:hAnsi="宋体" w:eastAsia="宋体"/>
                <w:b w:val="0"/>
                <w:i w:val="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95132">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A11A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51D4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E67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B7123">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0526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C3E9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31A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1482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ACF7A">
            <w:pPr>
              <w:spacing w:before="0" w:after="0" w:line="240" w:lineRule="auto"/>
              <w:jc w:val="center"/>
            </w:pPr>
          </w:p>
        </w:tc>
      </w:tr>
      <w:tr w14:paraId="26B4107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D1620E">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E184C">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5EDDE">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D92E2">
            <w:pPr>
              <w:keepNext/>
              <w:spacing w:before="0" w:after="0" w:line="240" w:lineRule="auto"/>
              <w:jc w:val="center"/>
            </w:pPr>
            <w:r>
              <w:rPr>
                <w:rFonts w:ascii="宋体" w:hAnsi="宋体" w:eastAsia="宋体"/>
                <w:b w:val="0"/>
                <w:i w:val="0"/>
                <w:sz w:val="18"/>
              </w:rPr>
              <w:t>入廊使用费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73AF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3337F">
            <w:pPr>
              <w:keepNext/>
              <w:spacing w:before="0" w:after="0" w:line="240" w:lineRule="auto"/>
              <w:jc w:val="center"/>
            </w:pPr>
            <w:r>
              <w:rPr>
                <w:rFonts w:ascii="宋体" w:hAnsi="宋体" w:eastAsia="宋体"/>
                <w:b w:val="0"/>
                <w:i w:val="0"/>
                <w:sz w:val="18"/>
              </w:rPr>
              <w:t>&lt;=3500万元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8A95B3">
            <w:pPr>
              <w:keepNext/>
              <w:spacing w:before="0" w:after="0" w:line="240" w:lineRule="auto"/>
              <w:jc w:val="center"/>
            </w:pPr>
            <w:r>
              <w:rPr>
                <w:rFonts w:ascii="宋体" w:hAnsi="宋体" w:eastAsia="宋体"/>
                <w:b w:val="0"/>
                <w:i w:val="0"/>
                <w:sz w:val="18"/>
              </w:rPr>
              <w:t>=3500万元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795A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26B1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28AB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F135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21E81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DDAA5">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66EAB">
            <w:pPr>
              <w:keepNext/>
              <w:spacing w:before="0" w:after="0" w:line="240" w:lineRule="auto"/>
              <w:jc w:val="center"/>
            </w:pPr>
          </w:p>
        </w:tc>
      </w:tr>
      <w:tr w14:paraId="3379E7B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8ECFD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7FA92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15DCE">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BBCC6">
            <w:pPr>
              <w:keepNext/>
              <w:spacing w:before="0" w:after="0" w:line="240" w:lineRule="auto"/>
              <w:jc w:val="center"/>
            </w:pPr>
            <w:r>
              <w:rPr>
                <w:rFonts w:ascii="宋体" w:hAnsi="宋体" w:eastAsia="宋体"/>
                <w:b w:val="0"/>
                <w:i w:val="0"/>
                <w:sz w:val="18"/>
              </w:rPr>
              <w:t>医学类图书均价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E83C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73E68">
            <w:pPr>
              <w:keepNext/>
              <w:spacing w:before="0" w:after="0" w:line="240" w:lineRule="auto"/>
              <w:jc w:val="center"/>
            </w:pPr>
            <w:r>
              <w:rPr>
                <w:rFonts w:ascii="宋体" w:hAnsi="宋体" w:eastAsia="宋体"/>
                <w:b w:val="0"/>
                <w:i w:val="0"/>
                <w:sz w:val="18"/>
              </w:rPr>
              <w:t>&lt;=96元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1CCE0">
            <w:pPr>
              <w:keepNext/>
              <w:spacing w:before="0" w:after="0" w:line="240" w:lineRule="auto"/>
              <w:jc w:val="center"/>
            </w:pPr>
            <w:r>
              <w:rPr>
                <w:rFonts w:ascii="宋体" w:hAnsi="宋体" w:eastAsia="宋体"/>
                <w:b w:val="0"/>
                <w:i w:val="0"/>
                <w:sz w:val="18"/>
              </w:rPr>
              <w:t>=84.6元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1081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47DA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8DA3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CDAF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7DB0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626D8">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ABA96">
            <w:pPr>
              <w:keepNext/>
              <w:spacing w:before="0" w:after="0" w:line="240" w:lineRule="auto"/>
              <w:jc w:val="center"/>
            </w:pPr>
          </w:p>
        </w:tc>
      </w:tr>
      <w:tr w14:paraId="731507B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6109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71F51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9142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CC05E">
            <w:pPr>
              <w:spacing w:before="0" w:after="0" w:line="240" w:lineRule="auto"/>
              <w:jc w:val="center"/>
            </w:pPr>
            <w:r>
              <w:rPr>
                <w:rFonts w:ascii="宋体" w:hAnsi="宋体" w:eastAsia="宋体"/>
                <w:b w:val="0"/>
                <w:i w:val="0"/>
                <w:sz w:val="18"/>
              </w:rPr>
              <w:t>台式计算机均价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9F714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FE683">
            <w:pPr>
              <w:spacing w:before="0" w:after="0" w:line="240" w:lineRule="auto"/>
              <w:jc w:val="center"/>
            </w:pPr>
            <w:r>
              <w:rPr>
                <w:rFonts w:ascii="宋体" w:hAnsi="宋体" w:eastAsia="宋体"/>
                <w:b w:val="0"/>
                <w:i w:val="0"/>
                <w:sz w:val="18"/>
              </w:rPr>
              <w:t>&lt;=5122元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5ABD0">
            <w:pPr>
              <w:spacing w:before="0" w:after="0" w:line="240" w:lineRule="auto"/>
              <w:jc w:val="center"/>
            </w:pPr>
            <w:r>
              <w:rPr>
                <w:rFonts w:ascii="宋体" w:hAnsi="宋体" w:eastAsia="宋体"/>
                <w:b w:val="0"/>
                <w:i w:val="0"/>
                <w:sz w:val="18"/>
              </w:rPr>
              <w:t>=5159元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83431">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F6ED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D64B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5438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6406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4B8D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5B551">
            <w:pPr>
              <w:spacing w:before="0" w:after="0" w:line="240" w:lineRule="auto"/>
              <w:jc w:val="center"/>
            </w:pPr>
            <w:r>
              <w:rPr>
                <w:rFonts w:ascii="宋体" w:hAnsi="宋体" w:eastAsia="宋体"/>
                <w:b w:val="0"/>
                <w:i w:val="0"/>
                <w:sz w:val="18"/>
              </w:rPr>
              <w:t>台式计算机国产信创产品采购单价可从5000元提高至5575元，导致采购均价高于计划金额。</w:t>
            </w:r>
          </w:p>
        </w:tc>
      </w:tr>
      <w:tr w14:paraId="255349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ED950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E1D8C">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A44C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CBF78">
            <w:pPr>
              <w:spacing w:before="0" w:after="0" w:line="240" w:lineRule="auto"/>
              <w:jc w:val="center"/>
            </w:pPr>
            <w:r>
              <w:rPr>
                <w:rFonts w:ascii="宋体" w:hAnsi="宋体" w:eastAsia="宋体"/>
                <w:b w:val="0"/>
                <w:i w:val="0"/>
                <w:sz w:val="18"/>
              </w:rPr>
              <w:t>受益人数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CCA5D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68089">
            <w:pPr>
              <w:spacing w:before="0" w:after="0" w:line="240" w:lineRule="auto"/>
              <w:jc w:val="center"/>
            </w:pPr>
            <w:r>
              <w:rPr>
                <w:rFonts w:ascii="宋体" w:hAnsi="宋体" w:eastAsia="宋体"/>
                <w:b w:val="0"/>
                <w:i w:val="0"/>
                <w:sz w:val="18"/>
              </w:rPr>
              <w:t>&gt;=25000人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7104C">
            <w:pPr>
              <w:spacing w:before="0" w:after="0" w:line="240" w:lineRule="auto"/>
              <w:jc w:val="center"/>
            </w:pPr>
            <w:r>
              <w:rPr>
                <w:rFonts w:ascii="宋体" w:hAnsi="宋体" w:eastAsia="宋体"/>
                <w:b w:val="0"/>
                <w:i w:val="0"/>
                <w:sz w:val="18"/>
              </w:rPr>
              <w:t>=26346人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E12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55719">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0BD1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BD5BC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649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06FB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01EFC">
            <w:pPr>
              <w:spacing w:before="0" w:after="0" w:line="240" w:lineRule="auto"/>
              <w:jc w:val="center"/>
            </w:pPr>
          </w:p>
        </w:tc>
      </w:tr>
      <w:tr w14:paraId="7DA03724">
        <w:tblPrEx>
          <w:tblCellMar>
            <w:top w:w="36" w:type="dxa"/>
            <w:left w:w="36" w:type="dxa"/>
            <w:bottom w:w="36" w:type="dxa"/>
            <w:right w:w="36" w:type="dxa"/>
          </w:tblCellMar>
        </w:tblPrEx>
        <w:trPr>
          <w:trHeight w:val="871"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AC90D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720B5">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B83B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40C0A">
            <w:pPr>
              <w:spacing w:before="0" w:after="0" w:line="240" w:lineRule="auto"/>
              <w:jc w:val="center"/>
            </w:pPr>
            <w:r>
              <w:rPr>
                <w:rFonts w:ascii="宋体" w:hAnsi="宋体" w:eastAsia="宋体"/>
                <w:b w:val="0"/>
                <w:i w:val="0"/>
                <w:sz w:val="18"/>
              </w:rPr>
              <w:t>教职工及学生满意度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98288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6DF2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875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E50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9CA2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FCF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6D90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9BC1D">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F2C9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232A30">
            <w:pPr>
              <w:spacing w:before="0" w:after="0" w:line="240" w:lineRule="auto"/>
              <w:jc w:val="center"/>
            </w:pPr>
          </w:p>
        </w:tc>
      </w:tr>
      <w:tr w14:paraId="3D21C9A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99AE39">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90D5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DFD2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81BA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EDC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153B1">
            <w:pPr>
              <w:spacing w:before="0" w:after="0" w:line="240" w:lineRule="auto"/>
              <w:jc w:val="center"/>
            </w:pPr>
            <w:r>
              <w:rPr>
                <w:rFonts w:ascii="宋体" w:hAnsi="宋体" w:eastAsia="宋体"/>
                <w:b w:val="0"/>
                <w:i w:val="0"/>
                <w:sz w:val="18"/>
              </w:rPr>
              <w:t>95.00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DF6F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6037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E05A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F503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58BA5">
            <w:pPr>
              <w:spacing w:before="0" w:after="0" w:line="240" w:lineRule="auto"/>
              <w:jc w:val="center"/>
            </w:pPr>
          </w:p>
        </w:tc>
      </w:tr>
    </w:tbl>
    <w:p w14:paraId="1669D62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88F58E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6F0DA79">
            <w:pPr>
              <w:spacing w:before="0" w:after="0" w:line="240" w:lineRule="auto"/>
              <w:jc w:val="center"/>
            </w:pPr>
            <w:r>
              <w:rPr>
                <w:rFonts w:ascii="宋体" w:hAnsi="宋体" w:eastAsia="宋体"/>
                <w:b/>
                <w:i w:val="0"/>
                <w:sz w:val="32"/>
              </w:rPr>
              <w:t>项目支出绩效自评表</w:t>
            </w:r>
          </w:p>
        </w:tc>
      </w:tr>
      <w:tr w14:paraId="612849F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966B639">
            <w:pPr>
              <w:spacing w:before="0" w:after="0" w:line="240" w:lineRule="auto"/>
              <w:jc w:val="center"/>
            </w:pPr>
            <w:r>
              <w:rPr>
                <w:rFonts w:ascii="宋体" w:hAnsi="宋体" w:eastAsia="宋体"/>
                <w:b w:val="0"/>
                <w:i w:val="0"/>
                <w:sz w:val="22"/>
              </w:rPr>
              <w:t>(2025年度)</w:t>
            </w:r>
          </w:p>
        </w:tc>
      </w:tr>
      <w:tr w14:paraId="02312AC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04E1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74904E6">
            <w:pPr>
              <w:spacing w:before="0" w:after="0" w:line="240" w:lineRule="auto"/>
              <w:jc w:val="center"/>
            </w:pPr>
            <w:r>
              <w:rPr>
                <w:rFonts w:ascii="宋体" w:hAnsi="宋体" w:eastAsia="宋体"/>
                <w:b w:val="0"/>
                <w:i w:val="0"/>
                <w:sz w:val="18"/>
              </w:rPr>
              <w:t>新疆医科大学2025年非财政拨款项目</w:t>
            </w:r>
          </w:p>
        </w:tc>
      </w:tr>
      <w:tr w14:paraId="4FDADA4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D705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027052">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93E4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4C8A66">
            <w:pPr>
              <w:spacing w:before="0" w:after="0" w:line="240" w:lineRule="auto"/>
              <w:jc w:val="center"/>
            </w:pPr>
            <w:r>
              <w:rPr>
                <w:rFonts w:ascii="宋体" w:hAnsi="宋体" w:eastAsia="宋体"/>
                <w:b w:val="0"/>
                <w:i w:val="0"/>
                <w:sz w:val="18"/>
              </w:rPr>
              <w:t>新疆医科大学（本级）</w:t>
            </w:r>
          </w:p>
        </w:tc>
      </w:tr>
      <w:tr w14:paraId="784393E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1DFD5">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A3F9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DF79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07323">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9F85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AE83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7EC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DA9CB">
            <w:pPr>
              <w:spacing w:before="0" w:after="0" w:line="240" w:lineRule="auto"/>
              <w:jc w:val="center"/>
            </w:pPr>
            <w:r>
              <w:rPr>
                <w:rFonts w:ascii="宋体" w:hAnsi="宋体" w:eastAsia="宋体"/>
                <w:b/>
                <w:i w:val="0"/>
                <w:sz w:val="18"/>
              </w:rPr>
              <w:t>得分</w:t>
            </w:r>
          </w:p>
        </w:tc>
      </w:tr>
      <w:tr w14:paraId="48E316D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067272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9796F">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D0ADE">
            <w:pPr>
              <w:spacing w:before="0" w:after="0" w:line="240" w:lineRule="auto"/>
              <w:jc w:val="center"/>
            </w:pPr>
            <w:r>
              <w:rPr>
                <w:rFonts w:ascii="宋体" w:hAnsi="宋体" w:eastAsia="宋体"/>
                <w:b w:val="0"/>
                <w:i w:val="0"/>
                <w:sz w:val="18"/>
              </w:rPr>
              <w:t>86476.92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8D42C">
            <w:pPr>
              <w:spacing w:before="0" w:after="0" w:line="240" w:lineRule="auto"/>
              <w:jc w:val="center"/>
            </w:pPr>
            <w:r>
              <w:rPr>
                <w:rFonts w:ascii="宋体" w:hAnsi="宋体" w:eastAsia="宋体"/>
                <w:b w:val="0"/>
                <w:i w:val="0"/>
                <w:sz w:val="18"/>
              </w:rPr>
              <w:t>86476.92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9E60C">
            <w:pPr>
              <w:spacing w:before="0" w:after="0" w:line="240" w:lineRule="auto"/>
              <w:jc w:val="center"/>
            </w:pPr>
            <w:r>
              <w:rPr>
                <w:rFonts w:ascii="宋体" w:hAnsi="宋体" w:eastAsia="宋体"/>
                <w:b w:val="0"/>
                <w:i w:val="0"/>
                <w:sz w:val="18"/>
              </w:rPr>
              <w:t>51884.52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FD54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F7583">
            <w:pPr>
              <w:spacing w:before="0" w:after="0" w:line="240" w:lineRule="auto"/>
              <w:jc w:val="center"/>
            </w:pPr>
            <w:r>
              <w:rPr>
                <w:rFonts w:ascii="宋体" w:hAnsi="宋体" w:eastAsia="宋体"/>
                <w:b w:val="0"/>
                <w:i w:val="0"/>
                <w:sz w:val="18"/>
              </w:rPr>
              <w:t>60.00%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A93D7">
            <w:pPr>
              <w:spacing w:before="0" w:after="0" w:line="240" w:lineRule="auto"/>
              <w:jc w:val="center"/>
            </w:pPr>
            <w:r>
              <w:rPr>
                <w:rFonts w:ascii="宋体" w:hAnsi="宋体" w:eastAsia="宋体"/>
                <w:b w:val="0"/>
                <w:i w:val="0"/>
                <w:sz w:val="18"/>
              </w:rPr>
              <w:t>0.00</w:t>
            </w:r>
          </w:p>
        </w:tc>
      </w:tr>
      <w:tr w14:paraId="3C70101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A0543C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BE92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3E4B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4097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2BC4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DD60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F98B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D3BD9">
            <w:pPr>
              <w:spacing w:before="0" w:after="0" w:line="240" w:lineRule="auto"/>
              <w:jc w:val="center"/>
            </w:pPr>
            <w:r>
              <w:rPr>
                <w:rFonts w:ascii="宋体" w:hAnsi="宋体" w:eastAsia="宋体"/>
                <w:b w:val="0"/>
                <w:i w:val="0"/>
                <w:sz w:val="18"/>
              </w:rPr>
              <w:t>—</w:t>
            </w:r>
          </w:p>
        </w:tc>
      </w:tr>
      <w:tr w14:paraId="31D1C8D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9DAF0C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D8C1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06FFF">
            <w:pPr>
              <w:spacing w:before="0" w:after="0" w:line="240" w:lineRule="auto"/>
              <w:jc w:val="center"/>
            </w:pPr>
            <w:r>
              <w:rPr>
                <w:rFonts w:ascii="宋体" w:hAnsi="宋体" w:eastAsia="宋体"/>
                <w:b w:val="0"/>
                <w:i w:val="0"/>
                <w:sz w:val="18"/>
              </w:rPr>
              <w:t>86476.92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14FD9">
            <w:pPr>
              <w:spacing w:before="0" w:after="0" w:line="240" w:lineRule="auto"/>
              <w:jc w:val="center"/>
            </w:pPr>
            <w:r>
              <w:rPr>
                <w:rFonts w:ascii="宋体" w:hAnsi="宋体" w:eastAsia="宋体"/>
                <w:b w:val="0"/>
                <w:i w:val="0"/>
                <w:sz w:val="18"/>
              </w:rPr>
              <w:t>86476.92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751C7">
            <w:pPr>
              <w:spacing w:before="0" w:after="0" w:line="240" w:lineRule="auto"/>
              <w:jc w:val="center"/>
            </w:pPr>
            <w:r>
              <w:rPr>
                <w:rFonts w:ascii="宋体" w:hAnsi="宋体" w:eastAsia="宋体"/>
                <w:b w:val="0"/>
                <w:i w:val="0"/>
                <w:sz w:val="18"/>
              </w:rPr>
              <w:t>51884.52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060D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FD64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8A3FE">
            <w:pPr>
              <w:spacing w:before="0" w:after="0" w:line="240" w:lineRule="auto"/>
              <w:jc w:val="center"/>
            </w:pPr>
            <w:r>
              <w:rPr>
                <w:rFonts w:ascii="宋体" w:hAnsi="宋体" w:eastAsia="宋体"/>
                <w:b w:val="0"/>
                <w:i w:val="0"/>
                <w:sz w:val="18"/>
              </w:rPr>
              <w:t>—</w:t>
            </w:r>
          </w:p>
        </w:tc>
      </w:tr>
      <w:tr w14:paraId="1D0525D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2576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324C1B">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664204">
            <w:pPr>
              <w:spacing w:before="0" w:after="0" w:line="240" w:lineRule="auto"/>
              <w:jc w:val="center"/>
            </w:pPr>
            <w:r>
              <w:rPr>
                <w:rFonts w:ascii="宋体" w:hAnsi="宋体" w:eastAsia="宋体"/>
                <w:b/>
                <w:i w:val="0"/>
                <w:sz w:val="18"/>
              </w:rPr>
              <w:t>实际完成情况</w:t>
            </w:r>
          </w:p>
        </w:tc>
      </w:tr>
      <w:tr w14:paraId="3BF1560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5319A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EFE656">
            <w:pPr>
              <w:spacing w:before="0" w:after="0" w:line="240" w:lineRule="auto"/>
              <w:jc w:val="center"/>
            </w:pPr>
            <w:r>
              <w:rPr>
                <w:rFonts w:ascii="宋体" w:hAnsi="宋体" w:eastAsia="宋体"/>
                <w:b w:val="0"/>
                <w:i w:val="0"/>
                <w:sz w:val="18"/>
              </w:rPr>
              <w:t>学校党委领导班子坚持以习近平新时代中国特色社会主义思想为指导，深入贯彻落实党的二十大精神，贯彻落实习近平总书记在听取自治区和兵团工作汇报时的重要讲话精神，贯彻落实自治区党委十届七次、八次、九次全会精神和自治区教育大会、科技创新大会精神，完整准确全面贯彻新时代党的治疆方略，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62E87">
            <w:pPr>
              <w:spacing w:before="0" w:after="0" w:line="240" w:lineRule="auto"/>
              <w:jc w:val="center"/>
            </w:pPr>
            <w:r>
              <w:rPr>
                <w:rFonts w:ascii="宋体" w:hAnsi="宋体" w:eastAsia="宋体"/>
                <w:b w:val="0"/>
                <w:i w:val="0"/>
                <w:sz w:val="18"/>
              </w:rPr>
              <w:t>学校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r>
      <w:tr w14:paraId="12DDA33C">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CE094">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FCD65">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72ECC">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F3D28">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7AF7E">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F9A39">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14981">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7D41A">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F7597">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95F34">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2E608">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B5A02">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60D4C">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45714">
            <w:pPr>
              <w:keepNext/>
              <w:spacing w:before="0" w:after="0" w:line="240" w:lineRule="auto"/>
              <w:jc w:val="center"/>
            </w:pPr>
            <w:r>
              <w:rPr>
                <w:rFonts w:ascii="宋体" w:hAnsi="宋体" w:eastAsia="宋体"/>
                <w:b/>
                <w:i w:val="0"/>
                <w:sz w:val="18"/>
              </w:rPr>
              <w:t>偏差原因分析及改进措施</w:t>
            </w:r>
          </w:p>
        </w:tc>
      </w:tr>
      <w:tr w14:paraId="73E3C64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BED8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734F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CDE0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8DD6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59EB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F424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BFD6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C11A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2AF8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C59D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1781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B2A6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7ECEC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6FDB4F"/>
        </w:tc>
      </w:tr>
      <w:tr w14:paraId="043E0D5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02FA9">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2057C">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56EB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5F47C">
            <w:pPr>
              <w:keepNext/>
              <w:spacing w:before="0" w:after="0" w:line="240" w:lineRule="auto"/>
              <w:jc w:val="center"/>
            </w:pPr>
            <w:r>
              <w:rPr>
                <w:rFonts w:ascii="宋体" w:hAnsi="宋体" w:eastAsia="宋体"/>
                <w:b w:val="0"/>
                <w:i w:val="0"/>
                <w:sz w:val="18"/>
              </w:rPr>
              <w:t>本金及利息偿还次数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2E7C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8A8A4">
            <w:pPr>
              <w:keepNext/>
              <w:spacing w:before="0" w:after="0" w:line="240" w:lineRule="auto"/>
              <w:jc w:val="center"/>
            </w:pPr>
            <w:r>
              <w:rPr>
                <w:rFonts w:ascii="宋体" w:hAnsi="宋体" w:eastAsia="宋体"/>
                <w:b w:val="0"/>
                <w:i w:val="0"/>
                <w:sz w:val="18"/>
              </w:rPr>
              <w:t>&gt;=4次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EFED76">
            <w:pPr>
              <w:keepNext/>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6347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0F5C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F3F41">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E7991">
            <w:pPr>
              <w:keepNext/>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896F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5FB8D">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11D60">
            <w:pPr>
              <w:keepNext/>
              <w:spacing w:before="0" w:after="0" w:line="240" w:lineRule="auto"/>
              <w:jc w:val="center"/>
            </w:pPr>
          </w:p>
        </w:tc>
      </w:tr>
      <w:tr w14:paraId="0482A0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65270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CEF48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4B63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DF002">
            <w:pPr>
              <w:keepNext/>
              <w:spacing w:before="0" w:after="0" w:line="240" w:lineRule="auto"/>
              <w:jc w:val="center"/>
            </w:pPr>
            <w:r>
              <w:rPr>
                <w:rFonts w:ascii="宋体" w:hAnsi="宋体" w:eastAsia="宋体"/>
                <w:b w:val="0"/>
                <w:i w:val="0"/>
                <w:sz w:val="18"/>
              </w:rPr>
              <w:t>奖助学金补助学生人数（人）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1D6B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76DCB">
            <w:pPr>
              <w:keepNext/>
              <w:spacing w:before="0" w:after="0" w:line="240" w:lineRule="auto"/>
              <w:jc w:val="center"/>
            </w:pPr>
            <w:r>
              <w:rPr>
                <w:rFonts w:ascii="宋体" w:hAnsi="宋体" w:eastAsia="宋体"/>
                <w:b w:val="0"/>
                <w:i w:val="0"/>
                <w:sz w:val="18"/>
              </w:rPr>
              <w:t>&gt;=3288人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F23F9">
            <w:pPr>
              <w:keepNext/>
              <w:spacing w:before="0" w:after="0" w:line="240" w:lineRule="auto"/>
              <w:jc w:val="center"/>
            </w:pPr>
            <w:r>
              <w:rPr>
                <w:rFonts w:ascii="宋体" w:hAnsi="宋体" w:eastAsia="宋体"/>
                <w:b w:val="0"/>
                <w:i w:val="0"/>
                <w:sz w:val="18"/>
              </w:rPr>
              <w:t>=4794人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659E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FBB8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9CE8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1A0E6">
            <w:pPr>
              <w:keepNext/>
              <w:spacing w:before="0" w:after="0" w:line="240" w:lineRule="auto"/>
              <w:jc w:val="center"/>
            </w:pPr>
            <w:r>
              <w:rPr>
                <w:rFonts w:ascii="宋体" w:hAnsi="宋体" w:eastAsia="宋体"/>
                <w:b w:val="0"/>
                <w:i w:val="0"/>
                <w:sz w:val="18"/>
              </w:rPr>
              <w:t>3288人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2A6B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EBCD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FD6A9">
            <w:pPr>
              <w:keepNext/>
              <w:spacing w:before="0" w:after="0" w:line="240" w:lineRule="auto"/>
              <w:jc w:val="center"/>
            </w:pPr>
          </w:p>
        </w:tc>
      </w:tr>
      <w:tr w14:paraId="4A50487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5BDC8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5D537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1DD8A">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3107A">
            <w:pPr>
              <w:keepNext/>
              <w:spacing w:before="0" w:after="0" w:line="240" w:lineRule="auto"/>
              <w:jc w:val="center"/>
            </w:pPr>
            <w:r>
              <w:rPr>
                <w:rFonts w:ascii="宋体" w:hAnsi="宋体" w:eastAsia="宋体"/>
                <w:b w:val="0"/>
                <w:i w:val="0"/>
                <w:sz w:val="18"/>
              </w:rPr>
              <w:t>伙食补助人数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F73E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85EA9">
            <w:pPr>
              <w:keepNext/>
              <w:spacing w:before="0" w:after="0" w:line="240" w:lineRule="auto"/>
              <w:jc w:val="center"/>
            </w:pPr>
            <w:r>
              <w:rPr>
                <w:rFonts w:ascii="宋体" w:hAnsi="宋体" w:eastAsia="宋体"/>
                <w:b w:val="0"/>
                <w:i w:val="0"/>
                <w:sz w:val="18"/>
              </w:rPr>
              <w:t>&gt;=7527人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98601">
            <w:pPr>
              <w:keepNext/>
              <w:spacing w:before="0" w:after="0" w:line="240" w:lineRule="auto"/>
              <w:jc w:val="center"/>
            </w:pPr>
            <w:r>
              <w:rPr>
                <w:rFonts w:ascii="宋体" w:hAnsi="宋体" w:eastAsia="宋体"/>
                <w:b w:val="0"/>
                <w:i w:val="0"/>
                <w:sz w:val="18"/>
              </w:rPr>
              <w:t>=26346人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E2E5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DAED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645D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40299">
            <w:pPr>
              <w:keepNext/>
              <w:spacing w:before="0" w:after="0" w:line="240" w:lineRule="auto"/>
              <w:jc w:val="center"/>
            </w:pPr>
            <w:r>
              <w:rPr>
                <w:rFonts w:ascii="宋体" w:hAnsi="宋体" w:eastAsia="宋体"/>
                <w:b w:val="0"/>
                <w:i w:val="0"/>
                <w:sz w:val="18"/>
              </w:rPr>
              <w:t>7257人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BCEE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BFAC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4D79D">
            <w:pPr>
              <w:keepNext/>
              <w:spacing w:before="0" w:after="0" w:line="240" w:lineRule="auto"/>
              <w:jc w:val="center"/>
            </w:pPr>
          </w:p>
        </w:tc>
      </w:tr>
      <w:tr w14:paraId="48048AD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DE7CE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DACD8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1140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E3257">
            <w:pPr>
              <w:keepNext/>
              <w:spacing w:before="0" w:after="0" w:line="240" w:lineRule="auto"/>
              <w:jc w:val="center"/>
            </w:pPr>
            <w:r>
              <w:rPr>
                <w:rFonts w:ascii="宋体" w:hAnsi="宋体" w:eastAsia="宋体"/>
                <w:b w:val="0"/>
                <w:i w:val="0"/>
                <w:sz w:val="18"/>
              </w:rPr>
              <w:t>保障学校食堂数量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E0C2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E00ED">
            <w:pPr>
              <w:keepNext/>
              <w:spacing w:before="0" w:after="0" w:line="240" w:lineRule="auto"/>
              <w:jc w:val="center"/>
            </w:pPr>
            <w:r>
              <w:rPr>
                <w:rFonts w:ascii="宋体" w:hAnsi="宋体" w:eastAsia="宋体"/>
                <w:b w:val="0"/>
                <w:i w:val="0"/>
                <w:sz w:val="18"/>
              </w:rPr>
              <w:t>&gt;=9个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C92DC">
            <w:pPr>
              <w:keepNext/>
              <w:spacing w:before="0" w:after="0" w:line="240" w:lineRule="auto"/>
              <w:jc w:val="center"/>
            </w:pPr>
            <w:r>
              <w:rPr>
                <w:rFonts w:ascii="宋体" w:hAnsi="宋体" w:eastAsia="宋体"/>
                <w:b w:val="0"/>
                <w:i w:val="0"/>
                <w:sz w:val="18"/>
              </w:rPr>
              <w: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B399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BD7F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2BAD16">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085D6">
            <w:pPr>
              <w:keepNext/>
              <w:spacing w:before="0" w:after="0" w:line="240" w:lineRule="auto"/>
              <w:jc w:val="center"/>
            </w:pPr>
            <w:r>
              <w:rPr>
                <w:rFonts w:ascii="宋体" w:hAnsi="宋体" w:eastAsia="宋体"/>
                <w:b w:val="0"/>
                <w:i w:val="0"/>
                <w:sz w:val="18"/>
              </w:rPr>
              <w:t>9个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C23B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4E7A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194CA">
            <w:pPr>
              <w:keepNext/>
              <w:spacing w:before="0" w:after="0" w:line="240" w:lineRule="auto"/>
              <w:jc w:val="center"/>
            </w:pPr>
          </w:p>
        </w:tc>
      </w:tr>
      <w:tr w14:paraId="0C8B52C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1C0B8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73DC5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057C6">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A0A53">
            <w:pPr>
              <w:keepNext/>
              <w:spacing w:before="0" w:after="0" w:line="240" w:lineRule="auto"/>
              <w:jc w:val="center"/>
            </w:pPr>
            <w:r>
              <w:rPr>
                <w:rFonts w:ascii="宋体" w:hAnsi="宋体" w:eastAsia="宋体"/>
                <w:b w:val="0"/>
                <w:i w:val="0"/>
                <w:sz w:val="18"/>
              </w:rPr>
              <w:t>重点建设学科数量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B6AC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BECDD">
            <w:pPr>
              <w:keepNext/>
              <w:spacing w:before="0" w:after="0" w:line="240" w:lineRule="auto"/>
              <w:jc w:val="center"/>
            </w:pPr>
            <w:r>
              <w:rPr>
                <w:rFonts w:ascii="宋体" w:hAnsi="宋体" w:eastAsia="宋体"/>
                <w:b w:val="0"/>
                <w:i w:val="0"/>
                <w:sz w:val="18"/>
              </w:rPr>
              <w:t>&gt;6个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FEEAE">
            <w:pPr>
              <w:keepNext/>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D7CA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CE3C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841D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041B2">
            <w:pPr>
              <w:keepNext/>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4C92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24A20">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CD720">
            <w:pPr>
              <w:keepNext/>
              <w:spacing w:before="0" w:after="0" w:line="240" w:lineRule="auto"/>
              <w:jc w:val="center"/>
            </w:pPr>
          </w:p>
        </w:tc>
      </w:tr>
      <w:tr w14:paraId="598B0DB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1D4AD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84F71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0BD56">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42588">
            <w:pPr>
              <w:keepNext/>
              <w:spacing w:before="0" w:after="0" w:line="240" w:lineRule="auto"/>
              <w:jc w:val="center"/>
            </w:pPr>
            <w:r>
              <w:rPr>
                <w:rFonts w:ascii="宋体" w:hAnsi="宋体" w:eastAsia="宋体"/>
                <w:b w:val="0"/>
                <w:i w:val="0"/>
                <w:sz w:val="18"/>
              </w:rPr>
              <w:t>食堂卫生合格率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07C3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6FE21">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09FD8">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65FF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15F7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6641A">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77814">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914BD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E95B16">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CC2A8F">
            <w:pPr>
              <w:keepNext/>
              <w:spacing w:before="0" w:after="0" w:line="240" w:lineRule="auto"/>
              <w:jc w:val="center"/>
            </w:pPr>
          </w:p>
        </w:tc>
      </w:tr>
      <w:tr w14:paraId="59663D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96DE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ED651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4A73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AE49B">
            <w:pPr>
              <w:spacing w:before="0" w:after="0" w:line="240" w:lineRule="auto"/>
              <w:jc w:val="center"/>
            </w:pPr>
            <w:r>
              <w:rPr>
                <w:rFonts w:ascii="宋体" w:hAnsi="宋体" w:eastAsia="宋体"/>
                <w:b w:val="0"/>
                <w:i w:val="0"/>
                <w:sz w:val="18"/>
              </w:rPr>
              <w:t>还本及付息逾期时间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DAE7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403FF">
            <w:pPr>
              <w:spacing w:before="0" w:after="0" w:line="240" w:lineRule="auto"/>
              <w:jc w:val="center"/>
            </w:pPr>
            <w:r>
              <w:rPr>
                <w:rFonts w:ascii="宋体" w:hAnsi="宋体" w:eastAsia="宋体"/>
                <w:b w:val="0"/>
                <w:i w:val="0"/>
                <w:sz w:val="18"/>
              </w:rPr>
              <w:t>&lt;=1天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10C65">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7735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0D8F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63D5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A0D89">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28F8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12A7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5DE2B">
            <w:pPr>
              <w:spacing w:before="0" w:after="0" w:line="240" w:lineRule="auto"/>
              <w:jc w:val="center"/>
            </w:pPr>
          </w:p>
        </w:tc>
      </w:tr>
      <w:tr w14:paraId="45B3AB7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6B2AA8">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91B7D">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19B40">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87343">
            <w:pPr>
              <w:keepNext/>
              <w:spacing w:before="0" w:after="0" w:line="240" w:lineRule="auto"/>
              <w:jc w:val="center"/>
            </w:pPr>
            <w:r>
              <w:rPr>
                <w:rFonts w:ascii="宋体" w:hAnsi="宋体" w:eastAsia="宋体"/>
                <w:b w:val="0"/>
                <w:i w:val="0"/>
                <w:sz w:val="18"/>
              </w:rPr>
              <w:t>高校伙食补助标准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DF5D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97DF9">
            <w:pPr>
              <w:keepNext/>
              <w:spacing w:before="0" w:after="0" w:line="240" w:lineRule="auto"/>
              <w:jc w:val="center"/>
            </w:pPr>
            <w:r>
              <w:rPr>
                <w:rFonts w:ascii="宋体" w:hAnsi="宋体" w:eastAsia="宋体"/>
                <w:b w:val="0"/>
                <w:i w:val="0"/>
                <w:sz w:val="18"/>
              </w:rPr>
              <w:t>=20元/人/月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3D7C1">
            <w:pPr>
              <w:keepNext/>
              <w:spacing w:before="0" w:after="0" w:line="240" w:lineRule="auto"/>
              <w:jc w:val="center"/>
            </w:pPr>
            <w:r>
              <w:rPr>
                <w:rFonts w:ascii="宋体" w:hAnsi="宋体" w:eastAsia="宋体"/>
                <w:b w:val="0"/>
                <w:i w:val="0"/>
                <w:sz w:val="18"/>
              </w:rPr>
              <w:t>=20元/人/月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F103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9E8D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60AC3">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8669B">
            <w:pPr>
              <w:keepNext/>
              <w:spacing w:before="0" w:after="0" w:line="240" w:lineRule="auto"/>
              <w:jc w:val="center"/>
            </w:pPr>
            <w:r>
              <w:rPr>
                <w:rFonts w:ascii="宋体" w:hAnsi="宋体" w:eastAsia="宋体"/>
                <w:b w:val="0"/>
                <w:i w:val="0"/>
                <w:sz w:val="18"/>
              </w:rPr>
              <w:t>20元/人/月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E852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C1615">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135C6">
            <w:pPr>
              <w:keepNext/>
              <w:spacing w:before="0" w:after="0" w:line="240" w:lineRule="auto"/>
              <w:jc w:val="center"/>
            </w:pPr>
          </w:p>
        </w:tc>
      </w:tr>
      <w:tr w14:paraId="739E801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C8709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CB81D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D2160">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B2E76">
            <w:pPr>
              <w:keepNext/>
              <w:spacing w:before="0" w:after="0" w:line="240" w:lineRule="auto"/>
              <w:jc w:val="center"/>
            </w:pPr>
            <w:r>
              <w:rPr>
                <w:rFonts w:ascii="宋体" w:hAnsi="宋体" w:eastAsia="宋体"/>
                <w:b w:val="0"/>
                <w:i w:val="0"/>
                <w:sz w:val="18"/>
              </w:rPr>
              <w:t>支持的学科项目经费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AB3CE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775D2">
            <w:pPr>
              <w:keepNext/>
              <w:spacing w:before="0" w:after="0" w:line="240" w:lineRule="auto"/>
              <w:jc w:val="center"/>
            </w:pPr>
            <w:r>
              <w:rPr>
                <w:rFonts w:ascii="宋体" w:hAnsi="宋体" w:eastAsia="宋体"/>
                <w:b w:val="0"/>
                <w:i w:val="0"/>
                <w:sz w:val="18"/>
              </w:rPr>
              <w:t>100-200万元/个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C41E1">
            <w:pPr>
              <w:keepNext/>
              <w:spacing w:before="0" w:after="0" w:line="240" w:lineRule="auto"/>
              <w:jc w:val="center"/>
            </w:pPr>
            <w:r>
              <w:rPr>
                <w:rFonts w:ascii="宋体" w:hAnsi="宋体" w:eastAsia="宋体"/>
                <w:b w:val="0"/>
                <w:i w:val="0"/>
                <w:sz w:val="18"/>
              </w:rPr>
              <w:t>=100-200万元/个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28B4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E8D3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24BF6">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95F00">
            <w:pPr>
              <w:keepNext/>
              <w:spacing w:before="0" w:after="0" w:line="240" w:lineRule="auto"/>
              <w:jc w:val="center"/>
            </w:pPr>
            <w:r>
              <w:rPr>
                <w:rFonts w:ascii="宋体" w:hAnsi="宋体" w:eastAsia="宋体"/>
                <w:b w:val="0"/>
                <w:i w:val="0"/>
                <w:sz w:val="18"/>
              </w:rPr>
              <w:t>100-200万元/个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6E8C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70F55C">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45746B">
            <w:pPr>
              <w:keepNext/>
              <w:spacing w:before="0" w:after="0" w:line="240" w:lineRule="auto"/>
              <w:jc w:val="center"/>
            </w:pPr>
          </w:p>
        </w:tc>
      </w:tr>
      <w:tr w14:paraId="4875BA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EFCA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BC38A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246C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441D6">
            <w:pPr>
              <w:spacing w:before="0" w:after="0" w:line="240" w:lineRule="auto"/>
              <w:jc w:val="center"/>
            </w:pPr>
            <w:r>
              <w:rPr>
                <w:rFonts w:ascii="宋体" w:hAnsi="宋体" w:eastAsia="宋体"/>
                <w:b w:val="0"/>
                <w:i w:val="0"/>
                <w:sz w:val="18"/>
              </w:rPr>
              <w:t>本专科生奖学金标准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456F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4CFD3">
            <w:pPr>
              <w:spacing w:before="0" w:after="0" w:line="240" w:lineRule="auto"/>
              <w:jc w:val="center"/>
            </w:pPr>
            <w:r>
              <w:rPr>
                <w:rFonts w:ascii="宋体" w:hAnsi="宋体" w:eastAsia="宋体"/>
                <w:b w:val="0"/>
                <w:i w:val="0"/>
                <w:sz w:val="18"/>
              </w:rPr>
              <w:t>一等奖学金3000元/生、二等奖学金2000元/生、三等奖学金1000元/生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D1C4A">
            <w:pPr>
              <w:spacing w:before="0" w:after="0" w:line="240" w:lineRule="auto"/>
              <w:jc w:val="center"/>
            </w:pPr>
            <w:r>
              <w:rPr>
                <w:rFonts w:ascii="宋体" w:hAnsi="宋体" w:eastAsia="宋体"/>
                <w:b w:val="0"/>
                <w:i w:val="0"/>
                <w:sz w:val="18"/>
              </w:rPr>
              <w:t>一等奖学金3000元/生、二等奖学金2000元/生、三等奖学金1000元/生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4A8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BF94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9779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930FC">
            <w:pPr>
              <w:spacing w:before="0" w:after="0" w:line="240" w:lineRule="auto"/>
              <w:jc w:val="center"/>
            </w:pPr>
            <w:r>
              <w:rPr>
                <w:rFonts w:ascii="宋体" w:hAnsi="宋体" w:eastAsia="宋体"/>
                <w:b w:val="0"/>
                <w:i w:val="0"/>
                <w:sz w:val="18"/>
              </w:rPr>
              <w:t>一等奖学金3000元/生、二等奖学金2000元/生、三等奖学金1000元/生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EE247">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880A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9BCE7">
            <w:pPr>
              <w:spacing w:before="0" w:after="0" w:line="240" w:lineRule="auto"/>
              <w:jc w:val="center"/>
            </w:pPr>
          </w:p>
        </w:tc>
      </w:tr>
      <w:tr w14:paraId="368EBBD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632EA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EC98CD">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9844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8D96C">
            <w:pPr>
              <w:spacing w:before="0" w:after="0" w:line="240" w:lineRule="auto"/>
              <w:jc w:val="center"/>
            </w:pPr>
            <w:r>
              <w:rPr>
                <w:rFonts w:ascii="宋体" w:hAnsi="宋体" w:eastAsia="宋体"/>
                <w:b w:val="0"/>
                <w:i w:val="0"/>
                <w:sz w:val="18"/>
              </w:rPr>
              <w:t>科研成果对经济社会发展</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4182C6">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2AD2A">
            <w:pPr>
              <w:spacing w:before="0" w:after="0" w:line="240" w:lineRule="auto"/>
              <w:jc w:val="center"/>
            </w:pPr>
            <w:r>
              <w:rPr>
                <w:rFonts w:ascii="宋体" w:hAnsi="宋体" w:eastAsia="宋体"/>
                <w:b w:val="0"/>
                <w:i w:val="0"/>
                <w:sz w:val="18"/>
              </w:rPr>
              <w:t>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FC324">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A24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E5BCF">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0487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BD885">
            <w:pPr>
              <w:spacing w:before="0" w:after="0" w:line="240" w:lineRule="auto"/>
              <w:jc w:val="center"/>
            </w:pPr>
            <w:r>
              <w:rPr>
                <w:rFonts w:ascii="宋体" w:hAnsi="宋体" w:eastAsia="宋体"/>
                <w:b w:val="0"/>
                <w:i w:val="0"/>
                <w:sz w:val="18"/>
              </w:rPr>
              <w:t>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4E7C9">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5267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C939A">
            <w:pPr>
              <w:spacing w:before="0" w:after="0" w:line="240" w:lineRule="auto"/>
              <w:jc w:val="center"/>
            </w:pPr>
          </w:p>
        </w:tc>
      </w:tr>
      <w:tr w14:paraId="1465F8F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AAA06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A39C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A7BCF">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BCE18">
            <w:pPr>
              <w:spacing w:before="0" w:after="0" w:line="240" w:lineRule="auto"/>
              <w:jc w:val="center"/>
            </w:pPr>
            <w:r>
              <w:rPr>
                <w:rFonts w:ascii="宋体" w:hAnsi="宋体" w:eastAsia="宋体"/>
                <w:b w:val="0"/>
                <w:i w:val="0"/>
                <w:sz w:val="18"/>
              </w:rPr>
              <w:t>学生及教职工满意度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18F9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BE115">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BFC3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ADB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98BD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BFA1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3009C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CD0976">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88E1B">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7D82E">
            <w:pPr>
              <w:spacing w:before="0" w:after="0" w:line="240" w:lineRule="auto"/>
              <w:jc w:val="center"/>
            </w:pPr>
          </w:p>
        </w:tc>
      </w:tr>
      <w:tr w14:paraId="455AA11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D07426">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D52C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9B6A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C793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A454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1E3E1">
            <w:pPr>
              <w:spacing w:before="0" w:after="0" w:line="240" w:lineRule="auto"/>
              <w:jc w:val="center"/>
            </w:pPr>
            <w:r>
              <w:rPr>
                <w:rFonts w:ascii="宋体" w:hAnsi="宋体" w:eastAsia="宋体"/>
                <w:b w:val="0"/>
                <w:i w:val="0"/>
                <w:sz w:val="18"/>
              </w:rPr>
              <w:t>90.00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27AD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F797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7C98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5642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F09AF">
            <w:pPr>
              <w:spacing w:before="0" w:after="0" w:line="240" w:lineRule="auto"/>
              <w:jc w:val="center"/>
            </w:pPr>
          </w:p>
        </w:tc>
      </w:tr>
    </w:tbl>
    <w:p w14:paraId="4221A402">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C88F3F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676488D">
            <w:pPr>
              <w:spacing w:before="0" w:after="0" w:line="240" w:lineRule="auto"/>
              <w:jc w:val="center"/>
            </w:pPr>
            <w:r>
              <w:rPr>
                <w:rFonts w:ascii="宋体" w:hAnsi="宋体" w:eastAsia="宋体"/>
                <w:b/>
                <w:i w:val="0"/>
                <w:sz w:val="32"/>
              </w:rPr>
              <w:t>项目支出绩效自评表</w:t>
            </w:r>
          </w:p>
        </w:tc>
      </w:tr>
      <w:tr w14:paraId="2C60FE8F">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4007FD2">
            <w:pPr>
              <w:spacing w:before="0" w:after="0" w:line="240" w:lineRule="auto"/>
              <w:jc w:val="center"/>
            </w:pPr>
            <w:r>
              <w:rPr>
                <w:rFonts w:ascii="宋体" w:hAnsi="宋体" w:eastAsia="宋体"/>
                <w:b w:val="0"/>
                <w:i w:val="0"/>
                <w:sz w:val="22"/>
              </w:rPr>
              <w:t>(2025年度)</w:t>
            </w:r>
          </w:p>
        </w:tc>
      </w:tr>
      <w:tr w14:paraId="4190A9E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0AD0C">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1898962">
            <w:pPr>
              <w:spacing w:before="0" w:after="0" w:line="240" w:lineRule="auto"/>
              <w:jc w:val="center"/>
            </w:pPr>
            <w:r>
              <w:rPr>
                <w:rFonts w:ascii="宋体" w:hAnsi="宋体" w:eastAsia="宋体"/>
                <w:b w:val="0"/>
                <w:i w:val="0"/>
                <w:sz w:val="18"/>
              </w:rPr>
              <w:t>追加新疆医科大学2024年生均拨款</w:t>
            </w:r>
          </w:p>
        </w:tc>
      </w:tr>
      <w:tr w14:paraId="0CB2ECD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83CF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B552F1">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02BB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2E9C01">
            <w:pPr>
              <w:spacing w:before="0" w:after="0" w:line="240" w:lineRule="auto"/>
              <w:jc w:val="center"/>
            </w:pPr>
            <w:r>
              <w:rPr>
                <w:rFonts w:ascii="宋体" w:hAnsi="宋体" w:eastAsia="宋体"/>
                <w:b w:val="0"/>
                <w:i w:val="0"/>
                <w:sz w:val="18"/>
              </w:rPr>
              <w:t>新疆医科大学（本级）</w:t>
            </w:r>
          </w:p>
        </w:tc>
      </w:tr>
      <w:tr w14:paraId="4C74523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98A9E">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DA8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C20F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CDC6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AB99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ED08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9309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2AEAC">
            <w:pPr>
              <w:spacing w:before="0" w:after="0" w:line="240" w:lineRule="auto"/>
              <w:jc w:val="center"/>
            </w:pPr>
            <w:r>
              <w:rPr>
                <w:rFonts w:ascii="宋体" w:hAnsi="宋体" w:eastAsia="宋体"/>
                <w:b/>
                <w:i w:val="0"/>
                <w:sz w:val="18"/>
              </w:rPr>
              <w:t>得分</w:t>
            </w:r>
          </w:p>
        </w:tc>
      </w:tr>
      <w:tr w14:paraId="6DEEE7C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13B33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EE8B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CCC95">
            <w:pPr>
              <w:spacing w:before="0" w:after="0" w:line="240" w:lineRule="auto"/>
              <w:jc w:val="center"/>
            </w:pPr>
            <w:r>
              <w:rPr>
                <w:rFonts w:ascii="宋体" w:hAnsi="宋体" w:eastAsia="宋体"/>
                <w:b w:val="0"/>
                <w:i w:val="0"/>
                <w:sz w:val="18"/>
              </w:rPr>
              <w:t>7633.00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922D7">
            <w:pPr>
              <w:spacing w:before="0" w:after="0" w:line="240" w:lineRule="auto"/>
              <w:jc w:val="center"/>
            </w:pPr>
            <w:r>
              <w:rPr>
                <w:rFonts w:ascii="宋体" w:hAnsi="宋体" w:eastAsia="宋体"/>
                <w:b w:val="0"/>
                <w:i w:val="0"/>
                <w:sz w:val="18"/>
              </w:rPr>
              <w:t>7633.00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0E316">
            <w:pPr>
              <w:spacing w:before="0" w:after="0" w:line="240" w:lineRule="auto"/>
              <w:jc w:val="center"/>
            </w:pPr>
            <w:r>
              <w:rPr>
                <w:rFonts w:ascii="宋体" w:hAnsi="宋体" w:eastAsia="宋体"/>
                <w:b w:val="0"/>
                <w:i w:val="0"/>
                <w:sz w:val="18"/>
              </w:rPr>
              <w:t>7133.00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23AF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3A179">
            <w:pPr>
              <w:spacing w:before="0" w:after="0" w:line="240" w:lineRule="auto"/>
              <w:jc w:val="center"/>
            </w:pPr>
            <w:r>
              <w:rPr>
                <w:rFonts w:ascii="宋体" w:hAnsi="宋体" w:eastAsia="宋体"/>
                <w:b w:val="0"/>
                <w:i w:val="0"/>
                <w:sz w:val="18"/>
              </w:rPr>
              <w:t>93.45%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8E607">
            <w:pPr>
              <w:spacing w:before="0" w:after="0" w:line="240" w:lineRule="auto"/>
              <w:jc w:val="center"/>
            </w:pPr>
            <w:r>
              <w:rPr>
                <w:rFonts w:ascii="宋体" w:hAnsi="宋体" w:eastAsia="宋体"/>
                <w:b w:val="0"/>
                <w:i w:val="0"/>
                <w:sz w:val="18"/>
              </w:rPr>
              <w:t>10.00</w:t>
            </w:r>
          </w:p>
        </w:tc>
      </w:tr>
      <w:tr w14:paraId="442B650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62585E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9DFE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3B858">
            <w:pPr>
              <w:spacing w:before="0" w:after="0" w:line="240" w:lineRule="auto"/>
              <w:jc w:val="center"/>
            </w:pPr>
            <w:r>
              <w:rPr>
                <w:rFonts w:ascii="宋体" w:hAnsi="宋体" w:eastAsia="宋体"/>
                <w:b w:val="0"/>
                <w:i w:val="0"/>
                <w:sz w:val="18"/>
              </w:rPr>
              <w:t>7633.00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86E85">
            <w:pPr>
              <w:spacing w:before="0" w:after="0" w:line="240" w:lineRule="auto"/>
              <w:jc w:val="center"/>
            </w:pPr>
            <w:r>
              <w:rPr>
                <w:rFonts w:ascii="宋体" w:hAnsi="宋体" w:eastAsia="宋体"/>
                <w:b w:val="0"/>
                <w:i w:val="0"/>
                <w:sz w:val="18"/>
              </w:rPr>
              <w:t>7633.00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2A6DC">
            <w:pPr>
              <w:spacing w:before="0" w:after="0" w:line="240" w:lineRule="auto"/>
              <w:jc w:val="center"/>
            </w:pPr>
            <w:r>
              <w:rPr>
                <w:rFonts w:ascii="宋体" w:hAnsi="宋体" w:eastAsia="宋体"/>
                <w:b w:val="0"/>
                <w:i w:val="0"/>
                <w:sz w:val="18"/>
              </w:rPr>
              <w:t>7133.00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E3B1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0D59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980C2">
            <w:pPr>
              <w:spacing w:before="0" w:after="0" w:line="240" w:lineRule="auto"/>
              <w:jc w:val="center"/>
            </w:pPr>
            <w:r>
              <w:rPr>
                <w:rFonts w:ascii="宋体" w:hAnsi="宋体" w:eastAsia="宋体"/>
                <w:b w:val="0"/>
                <w:i w:val="0"/>
                <w:sz w:val="18"/>
              </w:rPr>
              <w:t>—</w:t>
            </w:r>
          </w:p>
        </w:tc>
      </w:tr>
      <w:tr w14:paraId="1D3EF81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4EE30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5F35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7F01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66FB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5E0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1827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804F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4C8F0">
            <w:pPr>
              <w:spacing w:before="0" w:after="0" w:line="240" w:lineRule="auto"/>
              <w:jc w:val="center"/>
            </w:pPr>
            <w:r>
              <w:rPr>
                <w:rFonts w:ascii="宋体" w:hAnsi="宋体" w:eastAsia="宋体"/>
                <w:b w:val="0"/>
                <w:i w:val="0"/>
                <w:sz w:val="18"/>
              </w:rPr>
              <w:t>—</w:t>
            </w:r>
          </w:p>
        </w:tc>
      </w:tr>
      <w:tr w14:paraId="314356B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2730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41B99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D40FA8">
            <w:pPr>
              <w:spacing w:before="0" w:after="0" w:line="240" w:lineRule="auto"/>
              <w:jc w:val="center"/>
            </w:pPr>
            <w:r>
              <w:rPr>
                <w:rFonts w:ascii="宋体" w:hAnsi="宋体" w:eastAsia="宋体"/>
                <w:b/>
                <w:i w:val="0"/>
                <w:sz w:val="18"/>
              </w:rPr>
              <w:t>实际完成情况</w:t>
            </w:r>
          </w:p>
        </w:tc>
      </w:tr>
      <w:tr w14:paraId="55CD5A2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CC503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BA474E">
            <w:pPr>
              <w:spacing w:before="0" w:after="0" w:line="240" w:lineRule="auto"/>
              <w:jc w:val="center"/>
            </w:pPr>
            <w:r>
              <w:rPr>
                <w:rFonts w:ascii="宋体" w:hAnsi="宋体" w:eastAsia="宋体"/>
                <w:b w:val="0"/>
                <w:i w:val="0"/>
                <w:sz w:val="18"/>
              </w:rPr>
              <w:t>加强校园基础设施建设，改善办学条件，推动学校高质量内涵式发展。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E42BBC">
            <w:pPr>
              <w:spacing w:before="0" w:after="0" w:line="240" w:lineRule="auto"/>
              <w:jc w:val="center"/>
            </w:pPr>
            <w:r>
              <w:rPr>
                <w:rFonts w:ascii="宋体" w:hAnsi="宋体" w:eastAsia="宋体"/>
                <w:b w:val="0"/>
                <w:i w:val="0"/>
                <w:sz w:val="18"/>
              </w:rPr>
              <w:t>加强校园基础设施建设，改善办学条件，推动学校高质量内涵式发展。</w:t>
            </w:r>
          </w:p>
        </w:tc>
      </w:tr>
      <w:tr w14:paraId="55579C5A">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32567">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DDB14">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D7591">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CCEAF">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74E9A">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DC0CE">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9488A">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9EBE8">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6E94D">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05C4E">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075EE">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D57CB">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FB53C">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DB244">
            <w:pPr>
              <w:keepNext/>
              <w:spacing w:before="0" w:after="0" w:line="240" w:lineRule="auto"/>
              <w:jc w:val="center"/>
            </w:pPr>
            <w:r>
              <w:rPr>
                <w:rFonts w:ascii="宋体" w:hAnsi="宋体" w:eastAsia="宋体"/>
                <w:b/>
                <w:i w:val="0"/>
                <w:sz w:val="18"/>
              </w:rPr>
              <w:t>偏差原因分析及改进措施</w:t>
            </w:r>
          </w:p>
        </w:tc>
      </w:tr>
      <w:tr w14:paraId="1E11DB3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505B0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5CAE3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0CEB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93E35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C925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5330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7BEE8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C96A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D68F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4A5C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630B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2C08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329E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3C8302"/>
        </w:tc>
      </w:tr>
      <w:tr w14:paraId="74969A6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3CD75">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15C8A">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718C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5C875A">
            <w:pPr>
              <w:keepNext/>
              <w:spacing w:before="0" w:after="0" w:line="240" w:lineRule="auto"/>
              <w:jc w:val="center"/>
            </w:pPr>
            <w:r>
              <w:rPr>
                <w:rFonts w:ascii="宋体" w:hAnsi="宋体" w:eastAsia="宋体"/>
                <w:b w:val="0"/>
                <w:i w:val="0"/>
                <w:sz w:val="18"/>
              </w:rPr>
              <w:t>新建及改造工程数量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AEC3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BA9A5F">
            <w:pPr>
              <w:keepNext/>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822CB">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EBE2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9A89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915F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6A7BB">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17A28">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0924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362EA">
            <w:pPr>
              <w:keepNext/>
              <w:spacing w:before="0" w:after="0" w:line="240" w:lineRule="auto"/>
              <w:jc w:val="center"/>
            </w:pPr>
          </w:p>
        </w:tc>
      </w:tr>
      <w:tr w14:paraId="696560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F368C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2CB92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3FA38">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90F290">
            <w:pPr>
              <w:keepNext/>
              <w:spacing w:before="0" w:after="0" w:line="240" w:lineRule="auto"/>
              <w:jc w:val="center"/>
            </w:pPr>
            <w:r>
              <w:rPr>
                <w:rFonts w:ascii="宋体" w:hAnsi="宋体" w:eastAsia="宋体"/>
                <w:b w:val="0"/>
                <w:i w:val="0"/>
                <w:sz w:val="18"/>
              </w:rPr>
              <w:t>基建项目已完工施工内容验收合格率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F35B1">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D6AE0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0223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6A7C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5216B">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8874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3581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6AECD">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589A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BF87A">
            <w:pPr>
              <w:keepNext/>
              <w:spacing w:before="0" w:after="0" w:line="240" w:lineRule="auto"/>
              <w:jc w:val="center"/>
            </w:pPr>
          </w:p>
        </w:tc>
      </w:tr>
      <w:tr w14:paraId="429132A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9067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99E4D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E0F0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C95CB">
            <w:pPr>
              <w:spacing w:before="0" w:after="0" w:line="240" w:lineRule="auto"/>
              <w:jc w:val="center"/>
            </w:pPr>
            <w:r>
              <w:rPr>
                <w:rFonts w:ascii="宋体" w:hAnsi="宋体" w:eastAsia="宋体"/>
                <w:b w:val="0"/>
                <w:i w:val="0"/>
                <w:sz w:val="18"/>
              </w:rPr>
              <w:t>新建及改造项目按合同开工及时率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00DF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5B9DF">
            <w:pPr>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7C8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F020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CE39D">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EA58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E38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74B80">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D4E3D">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D7BB9">
            <w:pPr>
              <w:spacing w:before="0" w:after="0" w:line="240" w:lineRule="auto"/>
              <w:jc w:val="center"/>
            </w:pPr>
          </w:p>
        </w:tc>
      </w:tr>
      <w:tr w14:paraId="0B1F9CD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74F22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DD4D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68F2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0C240">
            <w:pPr>
              <w:spacing w:before="0" w:after="0" w:line="240" w:lineRule="auto"/>
              <w:jc w:val="center"/>
            </w:pPr>
            <w:r>
              <w:rPr>
                <w:rFonts w:ascii="宋体" w:hAnsi="宋体" w:eastAsia="宋体"/>
                <w:b w:val="0"/>
                <w:i w:val="0"/>
                <w:sz w:val="18"/>
              </w:rPr>
              <w:t>基建项目工程款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7C63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2D947">
            <w:pPr>
              <w:spacing w:before="0" w:after="0" w:line="240" w:lineRule="auto"/>
              <w:jc w:val="center"/>
            </w:pPr>
            <w:r>
              <w:rPr>
                <w:rFonts w:ascii="宋体" w:hAnsi="宋体" w:eastAsia="宋体"/>
                <w:b w:val="0"/>
                <w:i w:val="0"/>
                <w:sz w:val="18"/>
              </w:rPr>
              <w:t>&lt;=8819万元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33A2E">
            <w:pPr>
              <w:spacing w:before="0" w:after="0" w:line="240" w:lineRule="auto"/>
              <w:jc w:val="center"/>
            </w:pPr>
            <w:r>
              <w:rPr>
                <w:rFonts w:ascii="宋体" w:hAnsi="宋体" w:eastAsia="宋体"/>
                <w:b w:val="0"/>
                <w:i w:val="0"/>
                <w:sz w:val="18"/>
              </w:rPr>
              <w:t>=7133万元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5937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0E14F">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FFF6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983F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E58E3">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3B5E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181F9">
            <w:pPr>
              <w:spacing w:before="0" w:after="0" w:line="240" w:lineRule="auto"/>
              <w:jc w:val="center"/>
            </w:pPr>
          </w:p>
        </w:tc>
      </w:tr>
      <w:tr w14:paraId="0A811FB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CA316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64F9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59A77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8255E">
            <w:pPr>
              <w:spacing w:before="0" w:after="0" w:line="240" w:lineRule="auto"/>
              <w:jc w:val="center"/>
            </w:pPr>
            <w:r>
              <w:rPr>
                <w:rFonts w:ascii="宋体" w:hAnsi="宋体" w:eastAsia="宋体"/>
                <w:b w:val="0"/>
                <w:i w:val="0"/>
                <w:sz w:val="18"/>
              </w:rPr>
              <w:t>建设优质工程，建造智慧校园，为教职工和学生创造良好教学环境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1AE1D">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22D36">
            <w:pPr>
              <w:spacing w:before="0" w:after="0" w:line="240" w:lineRule="auto"/>
              <w:jc w:val="center"/>
            </w:pPr>
            <w:r>
              <w:rPr>
                <w:rFonts w:ascii="宋体" w:hAnsi="宋体" w:eastAsia="宋体"/>
                <w:b w:val="0"/>
                <w:i w:val="0"/>
                <w:sz w:val="18"/>
              </w:rPr>
              <w:t>&gt;=13000人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504A4">
            <w:pPr>
              <w:spacing w:before="0" w:after="0" w:line="240" w:lineRule="auto"/>
              <w:jc w:val="center"/>
            </w:pPr>
            <w:r>
              <w:rPr>
                <w:rFonts w:ascii="宋体" w:hAnsi="宋体" w:eastAsia="宋体"/>
                <w:b w:val="0"/>
                <w:i w:val="0"/>
                <w:sz w:val="18"/>
              </w:rPr>
              <w:t>=26346人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F68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EA806">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075F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5F34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544F1">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663F5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48CB0">
            <w:pPr>
              <w:spacing w:before="0" w:after="0" w:line="240" w:lineRule="auto"/>
              <w:jc w:val="center"/>
            </w:pPr>
          </w:p>
        </w:tc>
      </w:tr>
      <w:tr w14:paraId="4A385C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4EB7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4C14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9658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CC450">
            <w:pPr>
              <w:spacing w:before="0" w:after="0" w:line="240" w:lineRule="auto"/>
              <w:jc w:val="center"/>
            </w:pPr>
            <w:r>
              <w:rPr>
                <w:rFonts w:ascii="宋体" w:hAnsi="宋体" w:eastAsia="宋体"/>
                <w:b w:val="0"/>
                <w:i w:val="0"/>
                <w:sz w:val="18"/>
              </w:rPr>
              <w:t>教职工与学生满意度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EC224">
            <w:pPr>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08972">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F10B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3888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6D1A4">
            <w:pPr>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A68E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2541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AE4C3">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2EDD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9097A">
            <w:pPr>
              <w:spacing w:before="0" w:after="0" w:line="240" w:lineRule="auto"/>
              <w:jc w:val="center"/>
            </w:pPr>
          </w:p>
        </w:tc>
      </w:tr>
      <w:tr w14:paraId="3D492EE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FB26BC">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45D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DB3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9C97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4AF1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3AFC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1520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CBD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9C1FA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0520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A0B25">
            <w:pPr>
              <w:spacing w:before="0" w:after="0" w:line="240" w:lineRule="auto"/>
              <w:jc w:val="center"/>
            </w:pPr>
          </w:p>
        </w:tc>
      </w:tr>
    </w:tbl>
    <w:p w14:paraId="2E6354B2">
      <w:r>
        <w:br w:type="page"/>
      </w:r>
    </w:p>
    <w:p w14:paraId="0EBC2D21">
      <w:pPr>
        <w:sectPr>
          <w:type w:val="continuous"/>
          <w:pgSz w:w="11906" w:h="16838"/>
          <w:pgMar w:top="1440" w:right="1800" w:bottom="1440" w:left="1800" w:header="851" w:footer="992" w:gutter="0"/>
          <w:cols w:space="720" w:num="1"/>
          <w:docGrid w:type="lines" w:linePitch="312" w:charSpace="0"/>
        </w:sectPr>
      </w:pPr>
    </w:p>
    <w:p w14:paraId="00B29797">
      <w:pPr>
        <w:spacing w:line="640" w:lineRule="exact"/>
        <w:ind w:firstLine="640"/>
        <w:jc w:val="both"/>
        <w:outlineLvl w:val="2"/>
      </w:pPr>
      <w:r>
        <w:rPr>
          <w:rFonts w:ascii="黑体" w:hAnsi="黑体" w:eastAsia="黑体"/>
          <w:sz w:val="32"/>
        </w:rPr>
        <w:t>十二、其他需说明的事项</w:t>
      </w:r>
    </w:p>
    <w:p w14:paraId="2CB067ED">
      <w:pPr>
        <w:spacing w:line="580" w:lineRule="exact"/>
        <w:ind w:firstLine="640"/>
        <w:jc w:val="both"/>
      </w:pPr>
      <w:r>
        <w:rPr>
          <w:rFonts w:ascii="仿宋_GB2312" w:hAnsi="仿宋_GB2312" w:eastAsia="仿宋_GB2312"/>
          <w:b w:val="0"/>
          <w:sz w:val="32"/>
        </w:rPr>
        <w:t>本单位无其他需说明的事项。</w:t>
      </w:r>
    </w:p>
    <w:p w14:paraId="11F89C4F">
      <w:r>
        <w:br w:type="page"/>
      </w:r>
    </w:p>
    <w:p w14:paraId="4FDEDCFE">
      <w:pPr>
        <w:spacing w:line="600" w:lineRule="exact"/>
        <w:jc w:val="center"/>
        <w:outlineLvl w:val="0"/>
      </w:pPr>
      <w:r>
        <w:rPr>
          <w:rFonts w:ascii="黑体" w:hAnsi="黑体" w:eastAsia="黑体"/>
          <w:sz w:val="32"/>
        </w:rPr>
        <w:t>第三部分 专业名词解释</w:t>
      </w:r>
    </w:p>
    <w:p w14:paraId="6390CE1E">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F3EFDB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AB43E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641C8AD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E747070">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1D3EBA9">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B55456B">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22ECD45">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9524E6E">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C68295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DCDADA4">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492F75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62FC2DA">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B2584D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270F40F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3419B7D">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E44CEB3">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9FFD5D8">
      <w:r>
        <w:br w:type="page"/>
      </w:r>
    </w:p>
    <w:p w14:paraId="1CC9D6C6">
      <w:pPr>
        <w:spacing w:line="240" w:lineRule="auto"/>
        <w:jc w:val="center"/>
        <w:outlineLvl w:val="1"/>
      </w:pPr>
      <w:r>
        <w:rPr>
          <w:rFonts w:ascii="黑体" w:hAnsi="黑体" w:eastAsia="黑体"/>
          <w:sz w:val="32"/>
        </w:rPr>
        <w:t>第四部分 部门决算报表（见附表）</w:t>
      </w:r>
    </w:p>
    <w:p w14:paraId="25CD6049">
      <w:pPr>
        <w:autoSpaceDE w:val="0"/>
        <w:autoSpaceDN w:val="0"/>
        <w:spacing w:line="600" w:lineRule="exact"/>
        <w:ind w:firstLine="640" w:firstLineChars="200"/>
      </w:pPr>
      <w:r>
        <w:rPr>
          <w:rFonts w:ascii="仿宋_GB2312" w:hAnsi="仿宋_GB2312" w:eastAsia="仿宋_GB2312"/>
          <w:b w:val="0"/>
          <w:sz w:val="32"/>
        </w:rPr>
        <w:t>一、《收入支出决算总表》</w:t>
      </w:r>
    </w:p>
    <w:p w14:paraId="1415E5FF">
      <w:pPr>
        <w:autoSpaceDE w:val="0"/>
        <w:autoSpaceDN w:val="0"/>
        <w:spacing w:line="600" w:lineRule="exact"/>
        <w:ind w:firstLine="640" w:firstLineChars="200"/>
      </w:pPr>
      <w:r>
        <w:rPr>
          <w:rFonts w:ascii="仿宋_GB2312" w:hAnsi="仿宋_GB2312" w:eastAsia="仿宋_GB2312"/>
          <w:b w:val="0"/>
          <w:sz w:val="32"/>
        </w:rPr>
        <w:t>二、《收入决算表》</w:t>
      </w:r>
    </w:p>
    <w:p w14:paraId="6B579A17">
      <w:pPr>
        <w:autoSpaceDE w:val="0"/>
        <w:autoSpaceDN w:val="0"/>
        <w:spacing w:line="600" w:lineRule="exact"/>
        <w:ind w:firstLine="640" w:firstLineChars="200"/>
      </w:pPr>
      <w:r>
        <w:rPr>
          <w:rFonts w:ascii="仿宋_GB2312" w:hAnsi="仿宋_GB2312" w:eastAsia="仿宋_GB2312"/>
          <w:b w:val="0"/>
          <w:sz w:val="32"/>
        </w:rPr>
        <w:t>三、《支出决算表》</w:t>
      </w:r>
    </w:p>
    <w:p w14:paraId="63046EC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DE43D28">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47CCD82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6D01D63A">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F4C1B55">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8F12F6F">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00A8EA3">
      <w:pPr>
        <w:autoSpaceDE w:val="0"/>
        <w:autoSpaceDN w:val="0"/>
        <w:spacing w:line="600" w:lineRule="exact"/>
        <w:ind w:firstLine="640" w:firstLineChars="200"/>
      </w:pPr>
    </w:p>
    <w:p w14:paraId="5BFB9319">
      <w:pPr>
        <w:autoSpaceDE w:val="0"/>
        <w:autoSpaceDN w:val="0"/>
        <w:spacing w:line="600" w:lineRule="exact"/>
        <w:ind w:firstLine="640" w:firstLineChars="200"/>
      </w:pPr>
    </w:p>
    <w:p w14:paraId="7E8C1DDF">
      <w:pPr>
        <w:autoSpaceDE w:val="0"/>
        <w:autoSpaceDN w:val="0"/>
        <w:spacing w:line="600" w:lineRule="exact"/>
        <w:ind w:firstLine="640" w:firstLineChars="200"/>
      </w:pPr>
    </w:p>
    <w:p w14:paraId="518801EC">
      <w:pPr>
        <w:autoSpaceDE w:val="0"/>
        <w:autoSpaceDN w:val="0"/>
        <w:spacing w:line="600" w:lineRule="exact"/>
        <w:ind w:firstLine="640" w:firstLineChars="200"/>
      </w:pPr>
    </w:p>
    <w:p w14:paraId="428AC262">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FE4896-B63A-49AA-854E-DCE53B3639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642B713-63E4-4200-B9F0-2E3F02ED7C10}"/>
  </w:font>
  <w:font w:name="仿宋_GB2312">
    <w:panose1 w:val="02010609030101010101"/>
    <w:charset w:val="86"/>
    <w:family w:val="modern"/>
    <w:pitch w:val="default"/>
    <w:sig w:usb0="00000001" w:usb1="080E0000" w:usb2="00000000" w:usb3="00000000" w:csb0="00040000" w:csb1="00000000"/>
    <w:embedRegular r:id="rId3" w:fontKey="{5B085ABB-4466-4014-96ED-1D85571A15B9}"/>
  </w:font>
  <w:font w:name="楷体_GB2312">
    <w:altName w:val="楷体"/>
    <w:panose1 w:val="00000000000000000000"/>
    <w:charset w:val="00"/>
    <w:family w:val="auto"/>
    <w:pitch w:val="default"/>
    <w:sig w:usb0="00000000" w:usb1="00000000" w:usb2="00000000" w:usb3="00000000" w:csb0="00000000" w:csb1="00000000"/>
    <w:embedRegular r:id="rId4" w:fontKey="{5415EFA5-5890-4D7C-84C5-753E899C064A}"/>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17446E5"/>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601599D"/>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DF45800"/>
    <w:rsid w:val="6E0F7A08"/>
    <w:rsid w:val="6E2D1BBD"/>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82d2125e-bfcd-41af-958a-1b944fe7e764</errorID>
      <errorWord>卫生部</errorWord>
      <group>L1_Knowledge</group>
      <groupName>知识性问题</groupName>
      <ability>L2_Organization</ability>
      <abilityName>机构检查</abilityName>
      <candidateList/>
      <explain>2013年3月，根据《国务院关于提请审议国务院机构改革和职能转变方案》的议案，组建国家卫生和计划生育委员会，不再保留卫生部。2018年3月，中共中央印发了《深化党和国家机构改革方案》，组建国家卫生健康委员会，不再保留国家卫生和计划生育委员会。</explain>
      <paraID>5D44E290</paraID>
      <start>63</start>
      <end>66</end>
      <status>ignored</status>
      <modifiedWord/>
      <trackRevisions>false</trackRevisions>
    </reviewItem>
    <reviewItem>
      <errorID>6aa9d8ac-b539-44d0-b7bf-cc237c84433b</errorID>
      <errorWord>《关于共建新疆医科大学的意见》</errorWord>
      <group>L1_Official</group>
      <groupName>公文问题</groupName>
      <ability>L2_Official</ability>
      <abilityName>公文问题</abilityName>
      <candidateList/>
      <explain>公文文件引用格式不规范</explain>
      <paraID>5D44E290</paraID>
      <start>197</start>
      <end>212</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2ccbf9-3aa9-45b0-b7f2-e14797831dca}">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11279</Words>
  <Characters>12982</Characters>
  <Lines>10</Lines>
  <Paragraphs>2</Paragraphs>
  <TotalTime>16</TotalTime>
  <ScaleCrop>false</ScaleCrop>
  <LinksUpToDate>false</LinksUpToDate>
  <CharactersWithSpaces>12992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2026-09-02T09:19:22Z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