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新疆医科大学子女学校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E523E2B">
      <w:r>
        <w:br w:type="page"/>
      </w:r>
    </w:p>
    <w:p w14:paraId="5FA7EE93">
      <w:pPr>
        <w:spacing w:line="640" w:lineRule="exact"/>
        <w:jc w:val="center"/>
        <w:outlineLvl w:val="1"/>
      </w:pPr>
      <w:r>
        <w:rPr>
          <w:rFonts w:ascii="黑体" w:hAnsi="黑体" w:eastAsia="黑体"/>
          <w:sz w:val="32"/>
        </w:rPr>
        <w:t>第一部分 单位概况</w:t>
      </w:r>
    </w:p>
    <w:p w14:paraId="7B39E46D">
      <w:pPr>
        <w:spacing w:line="640" w:lineRule="exact"/>
        <w:ind w:firstLine="640"/>
        <w:jc w:val="both"/>
        <w:outlineLvl w:val="2"/>
      </w:pPr>
      <w:r>
        <w:rPr>
          <w:rFonts w:ascii="黑体" w:hAnsi="黑体" w:eastAsia="黑体"/>
          <w:sz w:val="32"/>
        </w:rPr>
        <w:t>一、主要职能</w:t>
      </w:r>
    </w:p>
    <w:p w14:paraId="627FC036">
      <w:pPr>
        <w:spacing w:line="580" w:lineRule="exact"/>
        <w:ind w:firstLine="640"/>
        <w:jc w:val="both"/>
      </w:pPr>
      <w:r>
        <w:rPr>
          <w:rFonts w:ascii="仿宋_GB2312" w:hAnsi="仿宋_GB2312" w:eastAsia="仿宋_GB2312"/>
          <w:sz w:val="32"/>
        </w:rPr>
        <w:t>贯彻执行上级教育部门有关教学工作的指示，保质保量</w:t>
      </w:r>
      <w:bookmarkStart w:id="0" w:name="_GoBack"/>
      <w:r>
        <w:rPr>
          <w:rFonts w:hint="eastAsia" w:ascii="仿宋_GB2312" w:hAnsi="仿宋_GB2312" w:eastAsia="仿宋_GB2312"/>
          <w:sz w:val="32"/>
          <w:lang w:eastAsia="zh-CN"/>
        </w:rPr>
        <w:t>地</w:t>
      </w:r>
      <w:bookmarkEnd w:id="0"/>
      <w:r>
        <w:rPr>
          <w:rFonts w:ascii="仿宋_GB2312" w:hAnsi="仿宋_GB2312" w:eastAsia="仿宋_GB2312"/>
          <w:sz w:val="32"/>
        </w:rPr>
        <w:t>完成小学教育工作等任务。</w:t>
      </w:r>
    </w:p>
    <w:p w14:paraId="6F96451A">
      <w:pPr>
        <w:spacing w:line="640" w:lineRule="exact"/>
        <w:ind w:firstLine="640"/>
        <w:jc w:val="both"/>
        <w:outlineLvl w:val="2"/>
      </w:pPr>
      <w:r>
        <w:rPr>
          <w:rFonts w:ascii="黑体" w:hAnsi="黑体" w:eastAsia="黑体"/>
          <w:sz w:val="32"/>
        </w:rPr>
        <w:t>二、机构设置</w:t>
      </w:r>
    </w:p>
    <w:p w14:paraId="651CDC90">
      <w:pPr>
        <w:spacing w:line="580" w:lineRule="exact"/>
        <w:ind w:firstLine="640"/>
        <w:jc w:val="both"/>
      </w:pPr>
      <w:r>
        <w:rPr>
          <w:rFonts w:ascii="仿宋_GB2312" w:hAnsi="仿宋_GB2312" w:eastAsia="仿宋_GB2312"/>
          <w:sz w:val="32"/>
        </w:rPr>
        <w:t>新疆医科大学子女学校无下属预算单位。</w:t>
      </w:r>
    </w:p>
    <w:p w14:paraId="0834EF0E">
      <w:r>
        <w:br w:type="page"/>
      </w:r>
    </w:p>
    <w:p w14:paraId="53047BFA">
      <w:pPr>
        <w:spacing w:line="240" w:lineRule="auto"/>
        <w:jc w:val="center"/>
        <w:outlineLvl w:val="1"/>
      </w:pPr>
      <w:r>
        <w:rPr>
          <w:rFonts w:ascii="黑体" w:hAnsi="黑体" w:eastAsia="黑体"/>
          <w:sz w:val="32"/>
        </w:rPr>
        <w:t>第二部分 部门决算情况说明</w:t>
      </w:r>
    </w:p>
    <w:p w14:paraId="0E3A0B07">
      <w:pPr>
        <w:spacing w:line="640" w:lineRule="exact"/>
        <w:ind w:firstLine="640"/>
        <w:jc w:val="both"/>
        <w:outlineLvl w:val="2"/>
      </w:pPr>
      <w:r>
        <w:rPr>
          <w:rFonts w:ascii="黑体" w:hAnsi="黑体" w:eastAsia="黑体"/>
          <w:sz w:val="32"/>
        </w:rPr>
        <w:t>一、收入支出决算总体情况说明</w:t>
      </w:r>
    </w:p>
    <w:p w14:paraId="017C4252">
      <w:pPr>
        <w:spacing w:line="580" w:lineRule="exact"/>
        <w:ind w:firstLine="640"/>
        <w:jc w:val="both"/>
      </w:pPr>
      <w:r>
        <w:rPr>
          <w:rFonts w:ascii="仿宋_GB2312" w:hAnsi="仿宋_GB2312" w:eastAsia="仿宋_GB2312"/>
          <w:b/>
          <w:sz w:val="32"/>
        </w:rPr>
        <w:t>2025年度收入总计2,255.06万元，</w:t>
      </w:r>
      <w:r>
        <w:rPr>
          <w:rFonts w:ascii="仿宋_GB2312" w:hAnsi="仿宋_GB2312" w:eastAsia="仿宋_GB2312"/>
          <w:b w:val="0"/>
          <w:sz w:val="32"/>
        </w:rPr>
        <w:t>其中：本年收入合计2,255.06万元，使用非财政拨款结余（含专用结余）0.00万元，年初结转和结余0.00万元。</w:t>
      </w:r>
    </w:p>
    <w:p w14:paraId="6BDDC85B">
      <w:pPr>
        <w:spacing w:line="580" w:lineRule="exact"/>
        <w:ind w:firstLine="640"/>
        <w:jc w:val="both"/>
      </w:pPr>
      <w:r>
        <w:rPr>
          <w:rFonts w:ascii="仿宋_GB2312" w:hAnsi="仿宋_GB2312" w:eastAsia="仿宋_GB2312"/>
          <w:b/>
          <w:sz w:val="32"/>
        </w:rPr>
        <w:t>2025年度支出总计2,255.06万元，</w:t>
      </w:r>
      <w:r>
        <w:rPr>
          <w:rFonts w:ascii="仿宋_GB2312" w:hAnsi="仿宋_GB2312" w:eastAsia="仿宋_GB2312"/>
          <w:b w:val="0"/>
          <w:sz w:val="32"/>
        </w:rPr>
        <w:t>其中：本年支出合计2,255.06万元，结余分配0.00万元，年末结转和结余0.00万元。</w:t>
      </w:r>
    </w:p>
    <w:p w14:paraId="24E28ED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增加250.45万元，增长12.49%，主要原因是：本年在职人员工资调增，社保、公积金基数调增，人员经费增加；增加中央义务教育薄弱环节与能力提升补助、校舍安全保障长效机制项目。</w:t>
      </w:r>
    </w:p>
    <w:p w14:paraId="0D6FF903">
      <w:pPr>
        <w:spacing w:line="640" w:lineRule="exact"/>
        <w:ind w:firstLine="640"/>
        <w:jc w:val="both"/>
        <w:outlineLvl w:val="2"/>
      </w:pPr>
      <w:r>
        <w:rPr>
          <w:rFonts w:ascii="黑体" w:hAnsi="黑体" w:eastAsia="黑体"/>
          <w:sz w:val="32"/>
        </w:rPr>
        <w:t>二、收入决算情况说明</w:t>
      </w:r>
    </w:p>
    <w:p w14:paraId="2C8C855E">
      <w:pPr>
        <w:spacing w:line="580" w:lineRule="exact"/>
        <w:ind w:firstLine="640"/>
        <w:jc w:val="both"/>
      </w:pPr>
      <w:r>
        <w:rPr>
          <w:rFonts w:ascii="仿宋_GB2312" w:hAnsi="仿宋_GB2312" w:eastAsia="仿宋_GB2312"/>
          <w:b/>
          <w:sz w:val="32"/>
        </w:rPr>
        <w:t>本年收入2,255.06万元，</w:t>
      </w:r>
      <w:r>
        <w:rPr>
          <w:rFonts w:ascii="仿宋_GB2312" w:hAnsi="仿宋_GB2312" w:eastAsia="仿宋_GB2312"/>
          <w:b w:val="0"/>
          <w:sz w:val="32"/>
        </w:rPr>
        <w:t>其中：财政拨款收入2,255.06万元，占100.00%；上级补助收入0.00万元，占0.00%；事业收入0.00万元，占0.00%；经营收入0.00万元，占0.00%；附属单位上缴收入0.00万元，占0.00%；其他收入0.00万元，占0.00%。</w:t>
      </w:r>
    </w:p>
    <w:p w14:paraId="0E398C34">
      <w:pPr>
        <w:spacing w:line="640" w:lineRule="exact"/>
        <w:ind w:firstLine="640"/>
        <w:jc w:val="both"/>
        <w:outlineLvl w:val="2"/>
      </w:pPr>
      <w:r>
        <w:rPr>
          <w:rFonts w:ascii="黑体" w:hAnsi="黑体" w:eastAsia="黑体"/>
          <w:sz w:val="32"/>
        </w:rPr>
        <w:t>三、支出决算情况说明</w:t>
      </w:r>
    </w:p>
    <w:p w14:paraId="19B022C8">
      <w:pPr>
        <w:spacing w:line="580" w:lineRule="exact"/>
        <w:ind w:firstLine="640"/>
        <w:jc w:val="both"/>
      </w:pPr>
      <w:r>
        <w:rPr>
          <w:rFonts w:ascii="仿宋_GB2312" w:hAnsi="仿宋_GB2312" w:eastAsia="仿宋_GB2312"/>
          <w:b/>
          <w:sz w:val="32"/>
        </w:rPr>
        <w:t>本年支出2,255.06万元，</w:t>
      </w:r>
      <w:r>
        <w:rPr>
          <w:rFonts w:ascii="仿宋_GB2312" w:hAnsi="仿宋_GB2312" w:eastAsia="仿宋_GB2312"/>
          <w:b w:val="0"/>
          <w:sz w:val="32"/>
        </w:rPr>
        <w:t>其中：基本支出1,816.99万元，占80.57%；项目支出438.07万元，占19.43%；上缴上级支出0.00万元，占0.00%；经营支出0.00万元，占0.00%；对附属单位补助支出0.00万元，占0.00%。</w:t>
      </w:r>
    </w:p>
    <w:p w14:paraId="1E47E6C8">
      <w:pPr>
        <w:spacing w:line="640" w:lineRule="exact"/>
        <w:ind w:firstLine="640"/>
        <w:jc w:val="both"/>
        <w:outlineLvl w:val="2"/>
      </w:pPr>
      <w:r>
        <w:rPr>
          <w:rFonts w:ascii="黑体" w:hAnsi="黑体" w:eastAsia="黑体"/>
          <w:sz w:val="32"/>
        </w:rPr>
        <w:t>四、财政拨款收入支出决算总体情况说明</w:t>
      </w:r>
    </w:p>
    <w:p w14:paraId="2007CA31">
      <w:pPr>
        <w:spacing w:line="580" w:lineRule="exact"/>
        <w:ind w:firstLine="640"/>
        <w:jc w:val="both"/>
      </w:pPr>
      <w:r>
        <w:rPr>
          <w:rFonts w:ascii="仿宋_GB2312" w:hAnsi="仿宋_GB2312" w:eastAsia="仿宋_GB2312"/>
          <w:b/>
          <w:sz w:val="32"/>
        </w:rPr>
        <w:t>2025年度财政拨款收入总计2,255.06万元，</w:t>
      </w:r>
      <w:r>
        <w:rPr>
          <w:rFonts w:ascii="仿宋_GB2312" w:hAnsi="仿宋_GB2312" w:eastAsia="仿宋_GB2312"/>
          <w:b w:val="0"/>
          <w:sz w:val="32"/>
        </w:rPr>
        <w:t>其中：年初财政拨款结转和结余0.00万元，本年财政拨款收入2,255.06万元。</w:t>
      </w:r>
      <w:r>
        <w:rPr>
          <w:rFonts w:ascii="仿宋_GB2312" w:hAnsi="仿宋_GB2312" w:eastAsia="仿宋_GB2312"/>
          <w:b/>
          <w:sz w:val="32"/>
        </w:rPr>
        <w:t>财政拨款支出总计2,255.06万元，</w:t>
      </w:r>
      <w:r>
        <w:rPr>
          <w:rFonts w:ascii="仿宋_GB2312" w:hAnsi="仿宋_GB2312" w:eastAsia="仿宋_GB2312"/>
          <w:b w:val="0"/>
          <w:sz w:val="32"/>
        </w:rPr>
        <w:t>其中：年末财政拨款结转和结余0.00万元，本年财政拨款支出2,255.06万元。</w:t>
      </w:r>
    </w:p>
    <w:p w14:paraId="3431E07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增加250.45万元，增长12.49%，主要原因是：本年在职人员工资调增，社保、公积金基数调增，人员经费增加；增加中央义务教育薄弱环节与能力提升补助、校舍安全保障长效机制项目。</w:t>
      </w:r>
      <w:r>
        <w:rPr>
          <w:rFonts w:ascii="仿宋_GB2312" w:hAnsi="仿宋_GB2312" w:eastAsia="仿宋_GB2312"/>
          <w:b/>
          <w:sz w:val="32"/>
        </w:rPr>
        <w:t>与年初预算相比，</w:t>
      </w:r>
      <w:r>
        <w:rPr>
          <w:rFonts w:ascii="仿宋_GB2312" w:hAnsi="仿宋_GB2312" w:eastAsia="仿宋_GB2312"/>
          <w:b w:val="0"/>
          <w:sz w:val="32"/>
        </w:rPr>
        <w:t>年初预算数1,975.44万元，决算数2,255.06万元，预决算差异率14.15%，主要原因是：年中追加三季度职业年金、2025年职业年金记实单位缴费部分、职工基本医疗保险、2024年度考核奖、调增基本工资；追加本级中小学少先队辅导员岗位津贴、新疆人才发展基金第二轮天山英才、中央城乡义务教育补助（第三批）综合奖补、中央城乡义务教育补助（第二批）小学公用、中央义务教育补助（第二批），导致预决算存在差异。</w:t>
      </w:r>
    </w:p>
    <w:p w14:paraId="6CFD9950">
      <w:pPr>
        <w:spacing w:line="640" w:lineRule="exact"/>
        <w:ind w:firstLine="640"/>
        <w:jc w:val="both"/>
        <w:outlineLvl w:val="2"/>
      </w:pPr>
      <w:r>
        <w:rPr>
          <w:rFonts w:ascii="黑体" w:hAnsi="黑体" w:eastAsia="黑体"/>
          <w:sz w:val="32"/>
        </w:rPr>
        <w:t>五、一般公共预算财政拨款支出决算情况说明</w:t>
      </w:r>
    </w:p>
    <w:p w14:paraId="3C296B6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基础教育、事业发展等重点支出，体现在有关支出科目中。</w:t>
      </w:r>
    </w:p>
    <w:p w14:paraId="1182CF56">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2,255.06万元，占比100.00%，主要用于保障学校日常办学运行，保障在职教职工工资福利、社会保障缴费等人员经费支出；用于开展教育教学活动、校园维护、教学耗材购置等公用经费开支，保障学校教育教学工作正常有序开展。</w:t>
      </w:r>
    </w:p>
    <w:p w14:paraId="3BC8E70F">
      <w:pPr>
        <w:spacing w:line="640" w:lineRule="exact"/>
        <w:ind w:firstLine="640"/>
        <w:jc w:val="both"/>
        <w:outlineLvl w:val="3"/>
      </w:pPr>
      <w:r>
        <w:rPr>
          <w:rFonts w:ascii="楷体_GB2312" w:hAnsi="楷体_GB2312" w:eastAsia="楷体_GB2312"/>
          <w:b/>
          <w:sz w:val="32"/>
        </w:rPr>
        <w:t>（一）一般公共预算财政拨款支出决算总体情况</w:t>
      </w:r>
    </w:p>
    <w:p w14:paraId="474184DB">
      <w:pPr>
        <w:spacing w:line="580" w:lineRule="exact"/>
        <w:ind w:firstLine="640"/>
        <w:jc w:val="both"/>
      </w:pPr>
      <w:r>
        <w:rPr>
          <w:rFonts w:ascii="仿宋_GB2312" w:hAnsi="仿宋_GB2312" w:eastAsia="仿宋_GB2312"/>
          <w:b/>
          <w:sz w:val="32"/>
        </w:rPr>
        <w:t>2025年度一般公共预算财政拨款支出2,255.06万元，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增加256.73万元，增长12.85%，主要原因是：本年在职人员工资调增，社保、公积金基数调增，人员经费增加。增加校舍安全保障长效机制项目。</w:t>
      </w:r>
      <w:r>
        <w:rPr>
          <w:rFonts w:ascii="仿宋_GB2312" w:hAnsi="仿宋_GB2312" w:eastAsia="仿宋_GB2312"/>
          <w:b/>
          <w:sz w:val="32"/>
        </w:rPr>
        <w:t>与年初预算相比，</w:t>
      </w:r>
      <w:r>
        <w:rPr>
          <w:rFonts w:ascii="仿宋_GB2312" w:hAnsi="仿宋_GB2312" w:eastAsia="仿宋_GB2312"/>
          <w:b w:val="0"/>
          <w:sz w:val="32"/>
        </w:rPr>
        <w:t>年初预算数1,975.44万元，决算数2,255.06万元，预决算差异率14.15%，主要原因是：年中追加三季度职业年金、2025年职业年金记实单位缴费部分、职工基本医疗保险、2024年度考核奖、调增基本工资；追加本级中小学少先队辅导员岗位津贴、新疆人才发展基金第二轮天山英才、中央城乡义务教育补助（第三批）综合奖补、中央城乡义务教育补助（第二批）小学公用、中央义务教育补助（第二批），导致预决算存在差异。</w:t>
      </w:r>
    </w:p>
    <w:p w14:paraId="6C2E7EAB">
      <w:pPr>
        <w:spacing w:line="640" w:lineRule="exact"/>
        <w:ind w:firstLine="640"/>
        <w:jc w:val="both"/>
        <w:outlineLvl w:val="3"/>
      </w:pPr>
      <w:r>
        <w:rPr>
          <w:rFonts w:ascii="楷体_GB2312" w:hAnsi="楷体_GB2312" w:eastAsia="楷体_GB2312"/>
          <w:b/>
          <w:sz w:val="32"/>
        </w:rPr>
        <w:t>（二）一般公共预算财政拨款支出决算结构情况</w:t>
      </w:r>
    </w:p>
    <w:p w14:paraId="08162339">
      <w:pPr>
        <w:spacing w:line="580" w:lineRule="exact"/>
        <w:ind w:firstLine="640"/>
        <w:jc w:val="both"/>
      </w:pPr>
      <w:r>
        <w:rPr>
          <w:rFonts w:ascii="仿宋_GB2312" w:hAnsi="仿宋_GB2312" w:eastAsia="仿宋_GB2312"/>
          <w:b w:val="0"/>
          <w:sz w:val="32"/>
        </w:rPr>
        <w:t>1.教育支出（类）2,255.06万元，占100.00%。</w:t>
      </w:r>
    </w:p>
    <w:p w14:paraId="7B3DD2D5">
      <w:pPr>
        <w:spacing w:line="640" w:lineRule="exact"/>
        <w:ind w:firstLine="640"/>
        <w:jc w:val="both"/>
        <w:outlineLvl w:val="3"/>
      </w:pPr>
      <w:r>
        <w:rPr>
          <w:rFonts w:ascii="楷体_GB2312" w:hAnsi="楷体_GB2312" w:eastAsia="楷体_GB2312"/>
          <w:b/>
          <w:sz w:val="32"/>
        </w:rPr>
        <w:t>（三）一般公共预算财政拨款支出决算具体情况</w:t>
      </w:r>
    </w:p>
    <w:p w14:paraId="3E9F59B5">
      <w:pPr>
        <w:spacing w:line="580" w:lineRule="exact"/>
        <w:ind w:firstLine="640"/>
        <w:jc w:val="both"/>
      </w:pPr>
      <w:r>
        <w:rPr>
          <w:rFonts w:ascii="仿宋_GB2312" w:hAnsi="仿宋_GB2312" w:eastAsia="仿宋_GB2312"/>
          <w:b w:val="0"/>
          <w:sz w:val="32"/>
        </w:rPr>
        <w:t>1.教育支出（类）普通教育（款）小学教育（项）：支出决算数为2,255.06万元，比上年决算增加256.73万元，增长12.85%，主要原因是：本年在职人员工资调增，社保、公积金基数调增，人员经费增加；增加中央义务教育薄弱环节与能力提升补助、校舍安全保障长效机制项目。</w:t>
      </w:r>
    </w:p>
    <w:p w14:paraId="0BDB31C5">
      <w:pPr>
        <w:spacing w:line="640" w:lineRule="exact"/>
        <w:ind w:firstLine="640"/>
        <w:jc w:val="both"/>
        <w:outlineLvl w:val="2"/>
      </w:pPr>
      <w:r>
        <w:rPr>
          <w:rFonts w:ascii="黑体" w:hAnsi="黑体" w:eastAsia="黑体"/>
          <w:sz w:val="32"/>
        </w:rPr>
        <w:t>六、一般公共预算财政拨款基本支出决算情况说明</w:t>
      </w:r>
    </w:p>
    <w:p w14:paraId="21F8D8DE">
      <w:pPr>
        <w:spacing w:line="580" w:lineRule="exact"/>
        <w:ind w:firstLine="640"/>
        <w:jc w:val="both"/>
      </w:pPr>
      <w:r>
        <w:rPr>
          <w:rFonts w:ascii="仿宋_GB2312" w:hAnsi="仿宋_GB2312" w:eastAsia="仿宋_GB2312"/>
          <w:b w:val="0"/>
          <w:sz w:val="32"/>
        </w:rPr>
        <w:t>2025年度一般公共预算财政拨款基本支出1,816.99万元，其中：</w:t>
      </w:r>
      <w:r>
        <w:rPr>
          <w:rFonts w:ascii="仿宋_GB2312" w:hAnsi="仿宋_GB2312" w:eastAsia="仿宋_GB2312"/>
          <w:b/>
          <w:sz w:val="32"/>
        </w:rPr>
        <w:t>人员经费1,686.02万元，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包括：基本工资、津贴补贴、绩效工资、机关事业单位基本养老保险缴费、职业年金缴费、职工基本医疗保险缴费、公务员医疗补助缴费、其他社会保障缴费、住房公积金、其他工资福利支出、离休费、退休费。</w:t>
      </w:r>
    </w:p>
    <w:p w14:paraId="6440F72C">
      <w:pPr>
        <w:spacing w:line="580" w:lineRule="exact"/>
        <w:ind w:firstLine="640"/>
        <w:jc w:val="both"/>
      </w:pPr>
      <w:r>
        <w:rPr>
          <w:rFonts w:ascii="仿宋_GB2312" w:hAnsi="仿宋_GB2312" w:eastAsia="仿宋_GB2312"/>
          <w:b/>
          <w:sz w:val="32"/>
        </w:rPr>
        <w:t>公用经费130.97万元，</w:t>
      </w:r>
      <w:r>
        <w:rPr>
          <w:rFonts w:ascii="仿宋_GB2312" w:hAnsi="仿宋_GB2312" w:eastAsia="仿宋_GB2312"/>
          <w:b w:val="0"/>
          <w:sz w:val="32"/>
        </w:rPr>
        <w:t>包括：办公费、手续费、水费、电费、邮电费、取暖费、物业管理费、差旅费、维修（护）费、培训费、专用材料费、工会经费、福利费、其他交通费用、其他商品和服务支出、专用设备购置。</w:t>
      </w:r>
    </w:p>
    <w:p w14:paraId="663724E5">
      <w:pPr>
        <w:spacing w:line="640" w:lineRule="exact"/>
        <w:ind w:firstLine="640"/>
        <w:jc w:val="both"/>
        <w:outlineLvl w:val="2"/>
      </w:pPr>
      <w:r>
        <w:rPr>
          <w:rFonts w:ascii="黑体" w:hAnsi="黑体" w:eastAsia="黑体"/>
          <w:sz w:val="32"/>
        </w:rPr>
        <w:t>七、政府性基金预算财政拨款收入支出决算情况说明</w:t>
      </w:r>
    </w:p>
    <w:p w14:paraId="3A8E980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50504B6">
      <w:pPr>
        <w:spacing w:line="640" w:lineRule="exact"/>
        <w:ind w:firstLine="640"/>
        <w:jc w:val="both"/>
        <w:outlineLvl w:val="2"/>
      </w:pPr>
      <w:r>
        <w:rPr>
          <w:rFonts w:ascii="黑体" w:hAnsi="黑体" w:eastAsia="黑体"/>
          <w:sz w:val="32"/>
        </w:rPr>
        <w:t>八、国有资本经营预算财政拨款收入支出决算情况说明</w:t>
      </w:r>
    </w:p>
    <w:p w14:paraId="2574CB4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D8BB16">
      <w:pPr>
        <w:spacing w:line="640" w:lineRule="exact"/>
        <w:ind w:firstLine="640"/>
        <w:jc w:val="both"/>
        <w:outlineLvl w:val="2"/>
      </w:pPr>
      <w:r>
        <w:rPr>
          <w:rFonts w:ascii="黑体" w:hAnsi="黑体" w:eastAsia="黑体"/>
          <w:sz w:val="32"/>
        </w:rPr>
        <w:t>九、财政拨款“三公”经费支出决算情况说明</w:t>
      </w:r>
    </w:p>
    <w:p w14:paraId="0FA7A09A">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768D9DCE">
      <w:pPr>
        <w:spacing w:line="580" w:lineRule="exact"/>
        <w:ind w:firstLine="640"/>
        <w:jc w:val="both"/>
      </w:pPr>
      <w:r>
        <w:rPr>
          <w:rFonts w:ascii="仿宋_GB2312" w:hAnsi="仿宋_GB2312" w:eastAsia="仿宋_GB2312"/>
          <w:b/>
          <w:sz w:val="32"/>
        </w:rPr>
        <w:t>具体情况如下：</w:t>
      </w:r>
    </w:p>
    <w:p w14:paraId="29AA202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085630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预算未安排公务用车运行维护费。</w:t>
      </w:r>
    </w:p>
    <w:p w14:paraId="17631CA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AEF18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6C88941">
      <w:pPr>
        <w:spacing w:line="640" w:lineRule="exact"/>
        <w:ind w:firstLine="640"/>
        <w:jc w:val="both"/>
        <w:outlineLvl w:val="2"/>
      </w:pPr>
      <w:r>
        <w:rPr>
          <w:rFonts w:ascii="黑体" w:hAnsi="黑体" w:eastAsia="黑体"/>
          <w:sz w:val="32"/>
        </w:rPr>
        <w:t>十、其他重要事项的情况说明</w:t>
      </w:r>
    </w:p>
    <w:p w14:paraId="1BCCF39E">
      <w:pPr>
        <w:spacing w:line="640" w:lineRule="exact"/>
        <w:ind w:firstLine="640"/>
        <w:jc w:val="both"/>
        <w:outlineLvl w:val="3"/>
      </w:pPr>
      <w:r>
        <w:rPr>
          <w:rFonts w:ascii="楷体_GB2312" w:hAnsi="楷体_GB2312" w:eastAsia="楷体_GB2312"/>
          <w:b/>
          <w:sz w:val="32"/>
        </w:rPr>
        <w:t>（一）机关运行经费及公用经费支出情况</w:t>
      </w:r>
    </w:p>
    <w:p w14:paraId="1E7FAEC7">
      <w:pPr>
        <w:spacing w:line="580" w:lineRule="exact"/>
        <w:ind w:firstLine="640"/>
        <w:jc w:val="both"/>
      </w:pPr>
      <w:r>
        <w:rPr>
          <w:rFonts w:ascii="仿宋_GB2312" w:hAnsi="仿宋_GB2312" w:eastAsia="仿宋_GB2312"/>
          <w:b w:val="0"/>
          <w:sz w:val="32"/>
        </w:rPr>
        <w:t>2025年度新疆医科大学子女学校（事业单位）公用经费支出130.97万元，比上年增加10.56万元，增长8.77%，主要原因是：教学业务活动增加，教学耗材、实验教具、学生活动等业务经费相应增加；校园设施日常运维修等导致公用经费支出同比有所增加，保障学校教育教学工作正常开展。</w:t>
      </w:r>
    </w:p>
    <w:p w14:paraId="27059C2E">
      <w:pPr>
        <w:spacing w:line="640" w:lineRule="exact"/>
        <w:ind w:firstLine="640"/>
        <w:jc w:val="both"/>
        <w:outlineLvl w:val="3"/>
      </w:pPr>
      <w:r>
        <w:rPr>
          <w:rFonts w:ascii="楷体_GB2312" w:hAnsi="楷体_GB2312" w:eastAsia="楷体_GB2312"/>
          <w:b/>
          <w:sz w:val="32"/>
        </w:rPr>
        <w:t>（二）政府采购情况</w:t>
      </w:r>
    </w:p>
    <w:p w14:paraId="649A1E5F">
      <w:pPr>
        <w:spacing w:line="580" w:lineRule="exact"/>
        <w:ind w:firstLine="640"/>
        <w:jc w:val="both"/>
      </w:pPr>
      <w:r>
        <w:rPr>
          <w:rFonts w:ascii="仿宋_GB2312" w:hAnsi="仿宋_GB2312" w:eastAsia="仿宋_GB2312"/>
          <w:b w:val="0"/>
          <w:sz w:val="32"/>
        </w:rPr>
        <w:t>2025年度政府采购支出总额66.64万元，其中：政府采购货物支出66.64万元、政府采购工程支出0.00万元、政府采购服务支出0.00万元。</w:t>
      </w:r>
    </w:p>
    <w:p w14:paraId="7A058297">
      <w:pPr>
        <w:spacing w:line="580" w:lineRule="exact"/>
        <w:ind w:firstLine="640"/>
        <w:jc w:val="both"/>
      </w:pPr>
      <w:r>
        <w:rPr>
          <w:rFonts w:ascii="仿宋_GB2312" w:hAnsi="仿宋_GB2312" w:eastAsia="仿宋_GB2312"/>
          <w:b w:val="0"/>
          <w:sz w:val="32"/>
        </w:rPr>
        <w:t>授予中小企业合同金额22.09万元，占政府采购支出总额的33.15%，其中：授予小微企业合同金额16.99万元，占政府采购支出总额的25.50%。</w:t>
      </w:r>
    </w:p>
    <w:p w14:paraId="3F5E11C7">
      <w:pPr>
        <w:spacing w:line="640" w:lineRule="exact"/>
        <w:ind w:firstLine="640"/>
        <w:jc w:val="both"/>
        <w:outlineLvl w:val="3"/>
      </w:pPr>
      <w:r>
        <w:rPr>
          <w:rFonts w:ascii="楷体_GB2312" w:hAnsi="楷体_GB2312" w:eastAsia="楷体_GB2312"/>
          <w:b/>
          <w:sz w:val="32"/>
        </w:rPr>
        <w:t>（三）国有资产占用情况说明</w:t>
      </w:r>
    </w:p>
    <w:p w14:paraId="78FC52E1">
      <w:pPr>
        <w:spacing w:line="580" w:lineRule="exact"/>
        <w:ind w:firstLine="640"/>
        <w:jc w:val="both"/>
      </w:pPr>
      <w:r>
        <w:rPr>
          <w:rFonts w:ascii="仿宋_GB2312" w:hAnsi="仿宋_GB2312" w:eastAsia="仿宋_GB2312"/>
          <w:b w:val="0"/>
          <w:sz w:val="32"/>
        </w:rPr>
        <w:t>截至2025年12月31日，房屋7,021.31平方米，价值1,479.41万元。车辆1辆，价值16.40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B41D7B6">
      <w:pPr>
        <w:spacing w:line="640" w:lineRule="exact"/>
        <w:ind w:firstLine="640"/>
        <w:jc w:val="both"/>
        <w:outlineLvl w:val="2"/>
      </w:pPr>
      <w:r>
        <w:rPr>
          <w:rFonts w:ascii="黑体" w:hAnsi="黑体" w:eastAsia="黑体"/>
          <w:sz w:val="32"/>
        </w:rPr>
        <w:t>十一、预算绩效的情况说明</w:t>
      </w:r>
    </w:p>
    <w:p w14:paraId="0DE8F9B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2025年无预算绩效管理项目。发现的问题及原因：2025年无预算绩效管理项目。下一步改进措施：2025年无预算绩效管理项目。</w:t>
      </w:r>
      <w:r>
        <w:br w:type="page"/>
      </w:r>
    </w:p>
    <w:p w14:paraId="344D1A7E">
      <w:pPr>
        <w:spacing w:line="640" w:lineRule="exact"/>
        <w:ind w:firstLine="640"/>
        <w:jc w:val="both"/>
        <w:outlineLvl w:val="2"/>
      </w:pPr>
      <w:r>
        <w:rPr>
          <w:rFonts w:ascii="黑体" w:hAnsi="黑体" w:eastAsia="黑体"/>
          <w:sz w:val="32"/>
        </w:rPr>
        <w:t>十二、其他需说明的事项</w:t>
      </w:r>
    </w:p>
    <w:p w14:paraId="1FD54417">
      <w:pPr>
        <w:spacing w:line="580" w:lineRule="exact"/>
        <w:ind w:firstLine="640"/>
        <w:jc w:val="both"/>
      </w:pPr>
      <w:r>
        <w:rPr>
          <w:rFonts w:ascii="仿宋_GB2312" w:hAnsi="仿宋_GB2312" w:eastAsia="仿宋_GB2312"/>
          <w:b w:val="0"/>
          <w:sz w:val="32"/>
        </w:rPr>
        <w:t>本单位无其他需说明的事项。</w:t>
      </w:r>
    </w:p>
    <w:p w14:paraId="49C94AC7">
      <w:r>
        <w:br w:type="page"/>
      </w:r>
    </w:p>
    <w:p w14:paraId="69AD71A0">
      <w:pPr>
        <w:spacing w:line="600" w:lineRule="exact"/>
        <w:jc w:val="center"/>
        <w:outlineLvl w:val="0"/>
      </w:pPr>
      <w:r>
        <w:rPr>
          <w:rFonts w:ascii="黑体" w:hAnsi="黑体" w:eastAsia="黑体"/>
          <w:sz w:val="32"/>
        </w:rPr>
        <w:t>第三部分 专业名词解释</w:t>
      </w:r>
    </w:p>
    <w:p w14:paraId="6D17177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0485574">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5D02B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27B11F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B44C98">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47A3434">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CADE94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AC76AF3">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A67317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545630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D1938B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BBBDA73">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A4ED42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6795A73">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B14522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A70A97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EE7958E">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0E66DB0">
      <w:r>
        <w:br w:type="page"/>
      </w:r>
    </w:p>
    <w:p w14:paraId="39CB3361">
      <w:pPr>
        <w:spacing w:line="240" w:lineRule="auto"/>
        <w:jc w:val="center"/>
        <w:outlineLvl w:val="1"/>
      </w:pPr>
      <w:r>
        <w:rPr>
          <w:rFonts w:ascii="黑体" w:hAnsi="黑体" w:eastAsia="黑体"/>
          <w:sz w:val="32"/>
        </w:rPr>
        <w:t>第四部分 部门决算报表（见附表）</w:t>
      </w:r>
    </w:p>
    <w:p w14:paraId="220CE762">
      <w:pPr>
        <w:autoSpaceDE w:val="0"/>
        <w:autoSpaceDN w:val="0"/>
        <w:spacing w:line="600" w:lineRule="exact"/>
        <w:ind w:firstLine="640" w:firstLineChars="200"/>
      </w:pPr>
      <w:r>
        <w:rPr>
          <w:rFonts w:ascii="仿宋_GB2312" w:hAnsi="仿宋_GB2312" w:eastAsia="仿宋_GB2312"/>
          <w:b w:val="0"/>
          <w:sz w:val="32"/>
        </w:rPr>
        <w:t>一、《收入支出决算总表》</w:t>
      </w:r>
    </w:p>
    <w:p w14:paraId="194F68A9">
      <w:pPr>
        <w:autoSpaceDE w:val="0"/>
        <w:autoSpaceDN w:val="0"/>
        <w:spacing w:line="600" w:lineRule="exact"/>
        <w:ind w:firstLine="640" w:firstLineChars="200"/>
      </w:pPr>
      <w:r>
        <w:rPr>
          <w:rFonts w:ascii="仿宋_GB2312" w:hAnsi="仿宋_GB2312" w:eastAsia="仿宋_GB2312"/>
          <w:b w:val="0"/>
          <w:sz w:val="32"/>
        </w:rPr>
        <w:t>二、《收入决算表》</w:t>
      </w:r>
    </w:p>
    <w:p w14:paraId="0D4FEED9">
      <w:pPr>
        <w:autoSpaceDE w:val="0"/>
        <w:autoSpaceDN w:val="0"/>
        <w:spacing w:line="600" w:lineRule="exact"/>
        <w:ind w:firstLine="640" w:firstLineChars="200"/>
      </w:pPr>
      <w:r>
        <w:rPr>
          <w:rFonts w:ascii="仿宋_GB2312" w:hAnsi="仿宋_GB2312" w:eastAsia="仿宋_GB2312"/>
          <w:b w:val="0"/>
          <w:sz w:val="32"/>
        </w:rPr>
        <w:t>三、《支出决算表》</w:t>
      </w:r>
    </w:p>
    <w:p w14:paraId="1F58EBE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CE5A1E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2D88E3A">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5E0106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CE8464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5339C5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7A2091B">
      <w:pPr>
        <w:autoSpaceDE w:val="0"/>
        <w:autoSpaceDN w:val="0"/>
        <w:spacing w:line="600" w:lineRule="exact"/>
        <w:ind w:firstLine="640" w:firstLineChars="200"/>
      </w:pPr>
    </w:p>
    <w:p w14:paraId="78614302">
      <w:pPr>
        <w:autoSpaceDE w:val="0"/>
        <w:autoSpaceDN w:val="0"/>
        <w:spacing w:line="600" w:lineRule="exact"/>
        <w:ind w:firstLine="640" w:firstLineChars="200"/>
      </w:pPr>
    </w:p>
    <w:p w14:paraId="52583B92">
      <w:pPr>
        <w:autoSpaceDE w:val="0"/>
        <w:autoSpaceDN w:val="0"/>
        <w:spacing w:line="600" w:lineRule="exact"/>
        <w:ind w:firstLine="640" w:firstLineChars="200"/>
      </w:pPr>
    </w:p>
    <w:p w14:paraId="7844B99A">
      <w:pPr>
        <w:autoSpaceDE w:val="0"/>
        <w:autoSpaceDN w:val="0"/>
        <w:spacing w:line="600" w:lineRule="exact"/>
        <w:ind w:firstLine="640" w:firstLineChars="200"/>
      </w:pPr>
    </w:p>
    <w:p w14:paraId="58449F9E">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B7B9A1-A290-432B-8CDB-8F5A3443DF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451AC3E-763F-4980-B294-EEDAFB904B76}"/>
  </w:font>
  <w:font w:name="仿宋_GB2312">
    <w:panose1 w:val="02010609030101010101"/>
    <w:charset w:val="86"/>
    <w:family w:val="modern"/>
    <w:pitch w:val="default"/>
    <w:sig w:usb0="00000001" w:usb1="080E0000" w:usb2="00000000" w:usb3="00000000" w:csb0="00040000" w:csb1="00000000"/>
    <w:embedRegular r:id="rId3" w:fontKey="{99CB55E8-2C54-4D3A-8F3A-7331815C2D0D}"/>
  </w:font>
  <w:font w:name="楷体_GB2312">
    <w:altName w:val="楷体"/>
    <w:panose1 w:val="00000000000000000000"/>
    <w:charset w:val="00"/>
    <w:family w:val="auto"/>
    <w:pitch w:val="default"/>
    <w:sig w:usb0="00000000" w:usb1="00000000" w:usb2="00000000" w:usb3="00000000" w:csb0="00000000" w:csb1="00000000"/>
    <w:embedRegular r:id="rId4" w:fontKey="{6A1A2D73-9B05-4CBB-8820-B74FD6C24D2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8D0473D"/>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BE33F3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52514781-e3a2-44dd-a178-013a212ed5ea</errorID>
      <errorWord>的</errorWord>
      <group>L1_Word</group>
      <groupName>字词问题</groupName>
      <ability>L2_DDD</ability>
      <abilityName>的地得用法</abilityName>
      <candidateList>
        <item>地</item>
      </candidateList>
      <explain/>
      <paraID>627FC036</paraID>
      <start>24</start>
      <end>25</end>
      <status>modified</status>
      <modifiedWord>地</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0959b01-8db3-4139-bf41-0e6b4b35c1b5}">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5017</Words>
  <Characters>5609</Characters>
  <Lines>10</Lines>
  <Paragraphs>2</Paragraphs>
  <TotalTime>7</TotalTime>
  <ScaleCrop>false</ScaleCrop>
  <LinksUpToDate>false</LinksUpToDate>
  <CharactersWithSpaces>5619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2026-09-01T11:56:08Z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