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786D" w14:textId="77777777" w:rsidR="005B2D6A" w:rsidRDefault="0050134C">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fldChar w:fldCharType="begin">
          <w:fldData xml:space="preserve">ZQBKAHoAdABYAFEAMQAwAEcAOABXAGQAMwA1AFYAawBTAFoANgBZAGkAeQBOAEkAbgBtAHQAbwBF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</w:fldData>
        </w:fldChar>
      </w:r>
      <w:r>
        <w:rPr>
          <w:rFonts w:ascii="仿宋" w:eastAsia="仿宋" w:hAnsi="仿宋" w:cs="宋体" w:hint="eastAsia"/>
          <w:kern w:val="0"/>
          <w:sz w:val="32"/>
          <w:szCs w:val="32"/>
        </w:rPr>
        <w:instrText>ADDIN CNKISM.UserStyle</w:instrText>
      </w:r>
      <w:r>
        <w:rPr>
          <w:rFonts w:ascii="仿宋" w:eastAsia="仿宋" w:hAnsi="仿宋" w:cs="宋体" w:hint="eastAsia"/>
          <w:kern w:val="0"/>
          <w:sz w:val="32"/>
          <w:szCs w:val="32"/>
        </w:rPr>
      </w:r>
      <w:r>
        <w:rPr>
          <w:rFonts w:ascii="仿宋" w:eastAsia="仿宋" w:hAnsi="仿宋" w:cs="宋体" w:hint="eastAsia"/>
          <w:kern w:val="0"/>
          <w:sz w:val="32"/>
          <w:szCs w:val="32"/>
        </w:rPr>
        <w:fldChar w:fldCharType="separate"/>
      </w:r>
      <w:r>
        <w:rPr>
          <w:rFonts w:ascii="仿宋" w:eastAsia="仿宋" w:hAnsi="仿宋" w:cs="宋体" w:hint="eastAsia"/>
          <w:kern w:val="0"/>
          <w:sz w:val="32"/>
          <w:szCs w:val="32"/>
        </w:rPr>
        <w:fldChar w:fldCharType="end"/>
      </w:r>
      <w:r w:rsidR="00000000">
        <w:rPr>
          <w:rFonts w:ascii="仿宋" w:eastAsia="仿宋" w:hAnsi="仿宋" w:cs="宋体" w:hint="eastAsia"/>
          <w:kern w:val="0"/>
          <w:sz w:val="32"/>
          <w:szCs w:val="32"/>
        </w:rPr>
        <w:t>附件2：</w:t>
      </w:r>
    </w:p>
    <w:p w14:paraId="4F44AA37" w14:textId="77777777" w:rsidR="005B2D6A" w:rsidRDefault="005B2D6A">
      <w:pPr>
        <w:spacing w:line="540" w:lineRule="exact"/>
        <w:jc w:val="center"/>
        <w:rPr>
          <w:rFonts w:ascii="华文中宋" w:eastAsia="华文中宋" w:hAnsi="华文中宋" w:cs="宋体" w:hint="eastAsia"/>
          <w:b/>
          <w:kern w:val="0"/>
          <w:sz w:val="52"/>
          <w:szCs w:val="52"/>
        </w:rPr>
      </w:pPr>
    </w:p>
    <w:p w14:paraId="1842D7CD" w14:textId="77777777" w:rsidR="005B2D6A" w:rsidRDefault="005B2D6A">
      <w:pPr>
        <w:spacing w:line="540" w:lineRule="exact"/>
        <w:jc w:val="center"/>
        <w:rPr>
          <w:rFonts w:ascii="华文中宋" w:eastAsia="华文中宋" w:hAnsi="华文中宋" w:cs="宋体" w:hint="eastAsia"/>
          <w:b/>
          <w:kern w:val="0"/>
          <w:sz w:val="52"/>
          <w:szCs w:val="52"/>
        </w:rPr>
      </w:pPr>
    </w:p>
    <w:p w14:paraId="575D8274" w14:textId="77777777" w:rsidR="005B2D6A" w:rsidRDefault="005B2D6A">
      <w:pPr>
        <w:spacing w:line="540" w:lineRule="exact"/>
        <w:jc w:val="center"/>
        <w:rPr>
          <w:rFonts w:ascii="华文中宋" w:eastAsia="华文中宋" w:hAnsi="华文中宋" w:cs="宋体" w:hint="eastAsia"/>
          <w:b/>
          <w:kern w:val="0"/>
          <w:sz w:val="52"/>
          <w:szCs w:val="52"/>
        </w:rPr>
      </w:pPr>
    </w:p>
    <w:p w14:paraId="396271B6" w14:textId="77777777" w:rsidR="005B2D6A" w:rsidRDefault="005B2D6A">
      <w:pPr>
        <w:spacing w:line="540" w:lineRule="exact"/>
        <w:jc w:val="center"/>
        <w:rPr>
          <w:rFonts w:ascii="华文中宋" w:eastAsia="华文中宋" w:hAnsi="华文中宋" w:cs="宋体" w:hint="eastAsia"/>
          <w:b/>
          <w:kern w:val="0"/>
          <w:sz w:val="52"/>
          <w:szCs w:val="52"/>
        </w:rPr>
      </w:pPr>
    </w:p>
    <w:p w14:paraId="10B1173B" w14:textId="77777777" w:rsidR="005B2D6A" w:rsidRDefault="005B2D6A">
      <w:pPr>
        <w:spacing w:line="540" w:lineRule="exact"/>
        <w:jc w:val="center"/>
        <w:rPr>
          <w:rFonts w:ascii="华文中宋" w:eastAsia="华文中宋" w:hAnsi="华文中宋" w:cs="宋体" w:hint="eastAsia"/>
          <w:b/>
          <w:kern w:val="0"/>
          <w:sz w:val="52"/>
          <w:szCs w:val="52"/>
        </w:rPr>
      </w:pPr>
    </w:p>
    <w:p w14:paraId="74D4EA2D" w14:textId="77777777" w:rsidR="005B2D6A" w:rsidRDefault="005B2D6A">
      <w:pPr>
        <w:spacing w:line="540" w:lineRule="exact"/>
        <w:jc w:val="center"/>
        <w:rPr>
          <w:rFonts w:ascii="华文中宋" w:eastAsia="华文中宋" w:hAnsi="华文中宋" w:cs="宋体" w:hint="eastAsia"/>
          <w:b/>
          <w:kern w:val="0"/>
          <w:sz w:val="52"/>
          <w:szCs w:val="52"/>
        </w:rPr>
      </w:pPr>
    </w:p>
    <w:p w14:paraId="2728C5F2" w14:textId="77777777" w:rsidR="005B2D6A"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自治区财政项目支出绩效自评报告</w:t>
      </w:r>
    </w:p>
    <w:p w14:paraId="623EA9A8" w14:textId="77777777" w:rsidR="005B2D6A" w:rsidRDefault="005B2D6A">
      <w:pPr>
        <w:spacing w:line="540" w:lineRule="exact"/>
        <w:jc w:val="center"/>
        <w:rPr>
          <w:rFonts w:ascii="华文中宋" w:eastAsia="华文中宋" w:hAnsi="华文中宋" w:cs="宋体" w:hint="eastAsia"/>
          <w:b/>
          <w:kern w:val="0"/>
          <w:sz w:val="52"/>
          <w:szCs w:val="52"/>
        </w:rPr>
      </w:pPr>
    </w:p>
    <w:p w14:paraId="18FF7C95" w14:textId="77777777" w:rsidR="005B2D6A"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1C5B1ED9" w14:textId="77777777" w:rsidR="005B2D6A" w:rsidRDefault="005B2D6A">
      <w:pPr>
        <w:spacing w:line="540" w:lineRule="exact"/>
        <w:jc w:val="center"/>
        <w:rPr>
          <w:rFonts w:eastAsia="仿宋_GB2312" w:hAnsi="宋体" w:cs="宋体" w:hint="eastAsia"/>
          <w:kern w:val="0"/>
          <w:sz w:val="30"/>
          <w:szCs w:val="30"/>
        </w:rPr>
      </w:pPr>
    </w:p>
    <w:p w14:paraId="6EBB1F94" w14:textId="77777777" w:rsidR="005B2D6A" w:rsidRDefault="005B2D6A">
      <w:pPr>
        <w:spacing w:line="540" w:lineRule="exact"/>
        <w:jc w:val="center"/>
        <w:rPr>
          <w:rFonts w:eastAsia="仿宋_GB2312" w:hAnsi="宋体" w:cs="宋体" w:hint="eastAsia"/>
          <w:kern w:val="0"/>
          <w:sz w:val="30"/>
          <w:szCs w:val="30"/>
        </w:rPr>
      </w:pPr>
    </w:p>
    <w:p w14:paraId="1BB76C2D" w14:textId="77777777" w:rsidR="005B2D6A" w:rsidRDefault="00000000">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参考模板</w:t>
      </w:r>
    </w:p>
    <w:p w14:paraId="66BDB41E" w14:textId="77777777" w:rsidR="005B2D6A" w:rsidRDefault="005B2D6A">
      <w:pPr>
        <w:spacing w:line="540" w:lineRule="exact"/>
        <w:jc w:val="center"/>
        <w:rPr>
          <w:rFonts w:eastAsia="仿宋_GB2312" w:hAnsi="宋体" w:cs="宋体" w:hint="eastAsia"/>
          <w:kern w:val="0"/>
          <w:sz w:val="30"/>
          <w:szCs w:val="30"/>
        </w:rPr>
      </w:pPr>
    </w:p>
    <w:p w14:paraId="16B3BE77" w14:textId="77777777" w:rsidR="005B2D6A" w:rsidRDefault="005B2D6A">
      <w:pPr>
        <w:spacing w:line="540" w:lineRule="exact"/>
        <w:jc w:val="center"/>
        <w:rPr>
          <w:rFonts w:eastAsia="仿宋_GB2312" w:hAnsi="宋体" w:cs="宋体" w:hint="eastAsia"/>
          <w:kern w:val="0"/>
          <w:sz w:val="30"/>
          <w:szCs w:val="30"/>
        </w:rPr>
      </w:pPr>
    </w:p>
    <w:p w14:paraId="089E8D5C" w14:textId="77777777" w:rsidR="005B2D6A" w:rsidRDefault="005B2D6A">
      <w:pPr>
        <w:spacing w:line="540" w:lineRule="exact"/>
        <w:jc w:val="center"/>
        <w:rPr>
          <w:rFonts w:eastAsia="仿宋_GB2312" w:hAnsi="宋体" w:cs="宋体" w:hint="eastAsia"/>
          <w:kern w:val="0"/>
          <w:sz w:val="30"/>
          <w:szCs w:val="30"/>
        </w:rPr>
      </w:pPr>
    </w:p>
    <w:p w14:paraId="45A1C9C1" w14:textId="77777777" w:rsidR="005B2D6A" w:rsidRDefault="005B2D6A">
      <w:pPr>
        <w:spacing w:line="540" w:lineRule="exact"/>
        <w:rPr>
          <w:rFonts w:eastAsia="仿宋_GB2312" w:hAnsi="宋体" w:cs="宋体" w:hint="eastAsia"/>
          <w:kern w:val="0"/>
          <w:sz w:val="30"/>
          <w:szCs w:val="30"/>
        </w:rPr>
      </w:pPr>
    </w:p>
    <w:p w14:paraId="6AC5C7F4" w14:textId="77777777" w:rsidR="005B2D6A"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4094C97C" w14:textId="77777777" w:rsidR="005B2D6A"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新疆医科大学2025年非财政拨款项目</w:t>
      </w:r>
    </w:p>
    <w:p w14:paraId="27027EFA" w14:textId="77777777" w:rsidR="005B2D6A"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新疆医科大学</w:t>
      </w:r>
    </w:p>
    <w:p w14:paraId="25CE0A00" w14:textId="77777777" w:rsidR="005B2D6A"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新疆医科大学</w:t>
      </w:r>
    </w:p>
    <w:p w14:paraId="6C6258EC" w14:textId="28AB8BFF" w:rsidR="005B2D6A"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p>
    <w:p w14:paraId="13FA350C" w14:textId="77777777" w:rsidR="005B2D6A"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2026年03月12日</w:t>
      </w:r>
    </w:p>
    <w:p w14:paraId="00D1C2A3" w14:textId="77777777" w:rsidR="005B2D6A" w:rsidRDefault="005B2D6A">
      <w:pPr>
        <w:spacing w:line="700" w:lineRule="exact"/>
        <w:ind w:firstLineChars="236" w:firstLine="708"/>
        <w:jc w:val="left"/>
        <w:rPr>
          <w:rFonts w:eastAsia="仿宋_GB2312" w:hAnsi="宋体" w:cs="宋体" w:hint="eastAsia"/>
          <w:kern w:val="0"/>
          <w:sz w:val="30"/>
          <w:szCs w:val="30"/>
        </w:rPr>
      </w:pPr>
    </w:p>
    <w:p w14:paraId="0A24A050" w14:textId="77777777" w:rsidR="005B2D6A" w:rsidRDefault="005B2D6A">
      <w:pPr>
        <w:spacing w:line="540" w:lineRule="exact"/>
        <w:rPr>
          <w:rStyle w:val="ad"/>
          <w:rFonts w:ascii="黑体" w:eastAsia="黑体" w:hAnsi="黑体" w:hint="eastAsia"/>
          <w:b w:val="0"/>
          <w:spacing w:val="-4"/>
          <w:sz w:val="32"/>
          <w:szCs w:val="32"/>
        </w:rPr>
      </w:pPr>
    </w:p>
    <w:p w14:paraId="3A26E046" w14:textId="77777777" w:rsidR="005B2D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076C027"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66B64460"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r>
        <w:rPr>
          <w:rStyle w:val="ad"/>
          <w:rFonts w:ascii="楷体" w:eastAsia="楷体" w:hAnsi="楷体" w:hint="eastAsia"/>
          <w:spacing w:val="-4"/>
          <w:sz w:val="32"/>
          <w:szCs w:val="32"/>
        </w:rPr>
        <w:br/>
        <w:t>随着高等教育事业的快速发展及学校办学规模的不断扩大，新疆医科大学在提升教学质量、推进科研创新、优化育人环境的同时，也面临着资金需求多样化、财政拨款保障范围有限的实际挑战。为贯彻落实国家关于高等教育经费投入机制改革的要求，确保学校各项事业健康、稳定、可持续发展，学校依据《预算法》、《高等学校财务制度》及相关财经法规，结合自身实际，设立了非财政拨款项目（以下简称“非财拨项目”）。</w:t>
      </w:r>
      <w:r>
        <w:rPr>
          <w:rStyle w:val="ad"/>
          <w:rFonts w:ascii="楷体" w:eastAsia="楷体" w:hAnsi="楷体" w:hint="eastAsia"/>
          <w:spacing w:val="-4"/>
          <w:sz w:val="32"/>
          <w:szCs w:val="32"/>
        </w:rPr>
        <w:br/>
        <w:t>该项目设立的背景主要基于以下三点：</w:t>
      </w:r>
      <w:r>
        <w:rPr>
          <w:rStyle w:val="ad"/>
          <w:rFonts w:ascii="楷体" w:eastAsia="楷体" w:hAnsi="楷体" w:hint="eastAsia"/>
          <w:spacing w:val="-4"/>
          <w:sz w:val="32"/>
          <w:szCs w:val="32"/>
        </w:rPr>
        <w:br/>
        <w:t>保障刚性支出需求：学校在运行过程中，存在学生奖助学金发放、银行贷款还本付息等刚性支出。这些支出直接关系到学生的切身利益和学校的信誉安全，必须在规定时间内足额到位。仅依赖财政拨款难以完全覆盖此类具有明确时效性和强制性的资金需求。</w:t>
      </w:r>
      <w:r>
        <w:rPr>
          <w:rStyle w:val="ad"/>
          <w:rFonts w:ascii="楷体" w:eastAsia="楷体" w:hAnsi="楷体" w:hint="eastAsia"/>
          <w:spacing w:val="-4"/>
          <w:sz w:val="32"/>
          <w:szCs w:val="32"/>
        </w:rPr>
        <w:br/>
        <w:t>弥补财政拨款不足：随着学校高质量内涵式发展的深入推进，教学改革、学科建设、科研平台搭建以及大型仪器设备购置等对资金的需求日益增长。财政拨款主要用于人员经费和公用经费的保障，对于部分专项教学科研设备更新、基础设施维修改造等，需通过自有资金进行补充。</w:t>
      </w:r>
      <w:r>
        <w:rPr>
          <w:rStyle w:val="ad"/>
          <w:rFonts w:ascii="楷体" w:eastAsia="楷体" w:hAnsi="楷体" w:hint="eastAsia"/>
          <w:spacing w:val="-4"/>
          <w:sz w:val="32"/>
          <w:szCs w:val="32"/>
        </w:rPr>
        <w:br/>
        <w:t>盘活存量资金效能：通过设立非财拨项目，可以依法依规统筹</w:t>
      </w:r>
      <w:r>
        <w:rPr>
          <w:rStyle w:val="ad"/>
          <w:rFonts w:ascii="楷体" w:eastAsia="楷体" w:hAnsi="楷体" w:hint="eastAsia"/>
          <w:spacing w:val="-4"/>
          <w:sz w:val="32"/>
          <w:szCs w:val="32"/>
        </w:rPr>
        <w:lastRenderedPageBreak/>
        <w:t>盘活财政专户和基本户资金，提高资金使用效益，确保资金流向最急需的领域。</w:t>
      </w:r>
      <w:r>
        <w:rPr>
          <w:rStyle w:val="ad"/>
          <w:rFonts w:ascii="楷体" w:eastAsia="楷体" w:hAnsi="楷体" w:hint="eastAsia"/>
          <w:spacing w:val="-4"/>
          <w:sz w:val="32"/>
          <w:szCs w:val="32"/>
        </w:rPr>
        <w:br/>
        <w:t>基于上述背景，新疆医科大学按照“保障重点、兼顾一般、量入为出、收支平衡”的原则，设立了年度非财拨项目，旨在通过统筹学校自有财力，确保学生资助、还本付息、教学运行、科研支持、基建结算及设备采购等关键工作的顺利开展。</w:t>
      </w:r>
      <w:r>
        <w:rPr>
          <w:rStyle w:val="ad"/>
          <w:rFonts w:ascii="楷体" w:eastAsia="楷体" w:hAnsi="楷体" w:hint="eastAsia"/>
          <w:spacing w:val="-4"/>
          <w:sz w:val="32"/>
          <w:szCs w:val="32"/>
        </w:rPr>
        <w:br/>
        <w:t>（二） 主要内容及实施情况</w:t>
      </w:r>
      <w:r>
        <w:rPr>
          <w:rStyle w:val="ad"/>
          <w:rFonts w:ascii="楷体" w:eastAsia="楷体" w:hAnsi="楷体" w:hint="eastAsia"/>
          <w:spacing w:val="-4"/>
          <w:sz w:val="32"/>
          <w:szCs w:val="32"/>
        </w:rPr>
        <w:br/>
        <w:t>本项目涵盖了学校日常运行与发展中的四大核心板块，具体内容及实施情况如下：</w:t>
      </w:r>
      <w:r>
        <w:rPr>
          <w:rStyle w:val="ad"/>
          <w:rFonts w:ascii="楷体" w:eastAsia="楷体" w:hAnsi="楷体" w:hint="eastAsia"/>
          <w:spacing w:val="-4"/>
          <w:sz w:val="32"/>
          <w:szCs w:val="32"/>
        </w:rPr>
        <w:br/>
        <w:t>1.学生资助与还本付息工作</w:t>
      </w:r>
      <w:r>
        <w:rPr>
          <w:rStyle w:val="ad"/>
          <w:rFonts w:ascii="楷体" w:eastAsia="楷体" w:hAnsi="楷体" w:hint="eastAsia"/>
          <w:spacing w:val="-4"/>
          <w:sz w:val="32"/>
          <w:szCs w:val="32"/>
        </w:rPr>
        <w:br/>
        <w:t>主要内容：</w:t>
      </w:r>
      <w:r>
        <w:rPr>
          <w:rStyle w:val="ad"/>
          <w:rFonts w:ascii="楷体" w:eastAsia="楷体" w:hAnsi="楷体" w:hint="eastAsia"/>
          <w:spacing w:val="-4"/>
          <w:sz w:val="32"/>
          <w:szCs w:val="32"/>
        </w:rPr>
        <w:br/>
        <w:t>学生资助：用于弥补国家奖助学金之外的学生资助需求，包括但不限于校内奖学金、勤工助学酬金、特殊困难补助等。重点保障家庭经济困难学生顺利完成学业，激励优秀学生奋发向上。</w:t>
      </w:r>
      <w:r>
        <w:rPr>
          <w:rStyle w:val="ad"/>
          <w:rFonts w:ascii="楷体" w:eastAsia="楷体" w:hAnsi="楷体" w:hint="eastAsia"/>
          <w:spacing w:val="-4"/>
          <w:sz w:val="32"/>
          <w:szCs w:val="32"/>
        </w:rPr>
        <w:br/>
        <w:t>还本付息：严格按照贷款合同约定，足额安排资金用于偿还日元贷款和政府专项债本金及利息。确保学校征信记录良好，防范财务风险。</w:t>
      </w:r>
      <w:r>
        <w:rPr>
          <w:rStyle w:val="ad"/>
          <w:rFonts w:ascii="楷体" w:eastAsia="楷体" w:hAnsi="楷体" w:hint="eastAsia"/>
          <w:spacing w:val="-4"/>
          <w:sz w:val="32"/>
          <w:szCs w:val="32"/>
        </w:rPr>
        <w:br/>
        <w:t>实施情况：</w:t>
      </w:r>
      <w:r>
        <w:rPr>
          <w:rStyle w:val="ad"/>
          <w:rFonts w:ascii="楷体" w:eastAsia="楷体" w:hAnsi="楷体" w:hint="eastAsia"/>
          <w:spacing w:val="-4"/>
          <w:sz w:val="32"/>
          <w:szCs w:val="32"/>
        </w:rPr>
        <w:br/>
        <w:t>学生资助工作实行“申请-审核-公示-发放”的闭环管理。由学生处牵头，各学院配合，精准识别资助对象。计划财务处根据评审结果，通过指定方式将资金按时、足额发放至学生个人账户，确保资助资金发放的准确性与及时性。</w:t>
      </w:r>
      <w:r>
        <w:rPr>
          <w:rStyle w:val="ad"/>
          <w:rFonts w:ascii="楷体" w:eastAsia="楷体" w:hAnsi="楷体" w:hint="eastAsia"/>
          <w:spacing w:val="-4"/>
          <w:sz w:val="32"/>
          <w:szCs w:val="32"/>
        </w:rPr>
        <w:br/>
        <w:t>还本付息工作由计划财务处专人负责，建立还本付息台账。根据贷款协议，提前预警，在规定还款日前完成资金归集与划转，从未发生逾期或违约情况，维护了学校良好的商业信誉。</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br/>
        <w:t>2.保障教学与科研工作</w:t>
      </w:r>
      <w:r>
        <w:rPr>
          <w:rStyle w:val="ad"/>
          <w:rFonts w:ascii="楷体" w:eastAsia="楷体" w:hAnsi="楷体" w:hint="eastAsia"/>
          <w:spacing w:val="-4"/>
          <w:sz w:val="32"/>
          <w:szCs w:val="32"/>
        </w:rPr>
        <w:br/>
        <w:t>主要内容：</w:t>
      </w:r>
      <w:r>
        <w:rPr>
          <w:rStyle w:val="ad"/>
          <w:rFonts w:ascii="楷体" w:eastAsia="楷体" w:hAnsi="楷体" w:hint="eastAsia"/>
          <w:spacing w:val="-4"/>
          <w:sz w:val="32"/>
          <w:szCs w:val="32"/>
        </w:rPr>
        <w:br/>
        <w:t>保障教学：重点支持本科教学改革、专业建设、课程建设、教材建设、实验教学耗材购置、实习实践基地建设以及教师教学能力提升培训等。确保日常教学活动有序开展，提升人才培养质量。</w:t>
      </w:r>
      <w:r>
        <w:rPr>
          <w:rStyle w:val="ad"/>
          <w:rFonts w:ascii="楷体" w:eastAsia="楷体" w:hAnsi="楷体" w:hint="eastAsia"/>
          <w:spacing w:val="-4"/>
          <w:sz w:val="32"/>
          <w:szCs w:val="32"/>
        </w:rPr>
        <w:br/>
        <w:t>保障科研：主要用于支持校级科研项目启动、重点科研平台运行维护、高水平科研成果奖励、学术交流活动开展以及科研成果转化前期培育等。</w:t>
      </w:r>
      <w:r>
        <w:rPr>
          <w:rStyle w:val="ad"/>
          <w:rFonts w:ascii="楷体" w:eastAsia="楷体" w:hAnsi="楷体" w:hint="eastAsia"/>
          <w:spacing w:val="-4"/>
          <w:sz w:val="32"/>
          <w:szCs w:val="32"/>
        </w:rPr>
        <w:br/>
        <w:t>实施情况：</w:t>
      </w:r>
      <w:r>
        <w:rPr>
          <w:rStyle w:val="ad"/>
          <w:rFonts w:ascii="楷体" w:eastAsia="楷体" w:hAnsi="楷体" w:hint="eastAsia"/>
          <w:spacing w:val="-4"/>
          <w:sz w:val="32"/>
          <w:szCs w:val="32"/>
        </w:rPr>
        <w:br/>
        <w:t>教务处、科学技术处分别作为教学和科研工作的归口管理部门，制定详细的年度项目实施计划。通过项目立项、中期检查、结题验收等流程，对资金使用进行全过程绩效管理。</w:t>
      </w:r>
      <w:r>
        <w:rPr>
          <w:rStyle w:val="ad"/>
          <w:rFonts w:ascii="楷体" w:eastAsia="楷体" w:hAnsi="楷体" w:hint="eastAsia"/>
          <w:spacing w:val="-4"/>
          <w:sz w:val="32"/>
          <w:szCs w:val="32"/>
        </w:rPr>
        <w:br/>
        <w:t>项目实施以来，学校教学秩序井然，教学质量稳步提升，科研项目申报成功率及高水平论文发表数量均有显著提高。</w:t>
      </w:r>
      <w:r>
        <w:rPr>
          <w:rStyle w:val="ad"/>
          <w:rFonts w:ascii="楷体" w:eastAsia="楷体" w:hAnsi="楷体" w:hint="eastAsia"/>
          <w:spacing w:val="-4"/>
          <w:sz w:val="32"/>
          <w:szCs w:val="32"/>
        </w:rPr>
        <w:br/>
        <w:t>3.设备采购工作</w:t>
      </w:r>
      <w:r>
        <w:rPr>
          <w:rStyle w:val="ad"/>
          <w:rFonts w:ascii="楷体" w:eastAsia="楷体" w:hAnsi="楷体" w:hint="eastAsia"/>
          <w:spacing w:val="-4"/>
          <w:sz w:val="32"/>
          <w:szCs w:val="32"/>
        </w:rPr>
        <w:br/>
        <w:t>主要内容：</w:t>
      </w:r>
      <w:r>
        <w:rPr>
          <w:rStyle w:val="ad"/>
          <w:rFonts w:ascii="楷体" w:eastAsia="楷体" w:hAnsi="楷体" w:hint="eastAsia"/>
          <w:spacing w:val="-4"/>
          <w:sz w:val="32"/>
          <w:szCs w:val="32"/>
        </w:rPr>
        <w:br/>
        <w:t>主要用于购置教学急需的通用设备、实验仪器、临床模拟训练设备以及科研急需的专用仪器设备。重点解决部分老旧设备更新换代慢、台套数不足制约实验教学开展的问题。</w:t>
      </w:r>
      <w:r>
        <w:rPr>
          <w:rStyle w:val="ad"/>
          <w:rFonts w:ascii="楷体" w:eastAsia="楷体" w:hAnsi="楷体" w:hint="eastAsia"/>
          <w:spacing w:val="-4"/>
          <w:sz w:val="32"/>
          <w:szCs w:val="32"/>
        </w:rPr>
        <w:br/>
        <w:t>实施情况：</w:t>
      </w:r>
      <w:r>
        <w:rPr>
          <w:rStyle w:val="ad"/>
          <w:rFonts w:ascii="楷体" w:eastAsia="楷体" w:hAnsi="楷体" w:hint="eastAsia"/>
          <w:spacing w:val="-4"/>
          <w:sz w:val="32"/>
          <w:szCs w:val="32"/>
        </w:rPr>
        <w:br/>
        <w:t>严格执行相关采购制度，遵循“公开、公平、公正”的原则，对于达到政府采购限额标准的项目，严格履行政府采购程序；及时组织验收、登记入账，确保资产安全完整。通过该项目的</w:t>
      </w:r>
      <w:r>
        <w:rPr>
          <w:rStyle w:val="ad"/>
          <w:rFonts w:ascii="楷体" w:eastAsia="楷体" w:hAnsi="楷体" w:hint="eastAsia"/>
          <w:spacing w:val="-4"/>
          <w:sz w:val="32"/>
          <w:szCs w:val="32"/>
        </w:rPr>
        <w:lastRenderedPageBreak/>
        <w:t>实施，大幅改善了实验教学条件，为医学人才培养提供了坚实的硬件保障。</w:t>
      </w:r>
      <w:r>
        <w:rPr>
          <w:rStyle w:val="ad"/>
          <w:rFonts w:ascii="楷体" w:eastAsia="楷体" w:hAnsi="楷体" w:hint="eastAsia"/>
          <w:spacing w:val="-4"/>
          <w:sz w:val="32"/>
          <w:szCs w:val="32"/>
        </w:rPr>
        <w:br/>
        <w:t>4.基建结算工作</w:t>
      </w:r>
      <w:r>
        <w:rPr>
          <w:rStyle w:val="ad"/>
          <w:rFonts w:ascii="楷体" w:eastAsia="楷体" w:hAnsi="楷体" w:hint="eastAsia"/>
          <w:spacing w:val="-4"/>
          <w:sz w:val="32"/>
          <w:szCs w:val="32"/>
        </w:rPr>
        <w:br/>
        <w:t>主要内容：</w:t>
      </w:r>
      <w:r>
        <w:rPr>
          <w:rStyle w:val="ad"/>
          <w:rFonts w:ascii="楷体" w:eastAsia="楷体" w:hAnsi="楷体" w:hint="eastAsia"/>
          <w:spacing w:val="-4"/>
          <w:sz w:val="32"/>
          <w:szCs w:val="32"/>
        </w:rPr>
        <w:br/>
        <w:t>主要用于支付学校已竣工基本建设项目的工程尾款、质量保证金、竣工财务决算审计费用。涵盖新建校舍、实验室改造、大型基础设施更新等各类基建项目。重点保障基建项目在财政拨款资金不足时，能够按时完成工程结算，确保施工方权益，维护学校工程建设领域的良好信誉。</w:t>
      </w:r>
      <w:r>
        <w:rPr>
          <w:rStyle w:val="ad"/>
          <w:rFonts w:ascii="楷体" w:eastAsia="楷体" w:hAnsi="楷体" w:hint="eastAsia"/>
          <w:spacing w:val="-4"/>
          <w:sz w:val="32"/>
          <w:szCs w:val="32"/>
        </w:rPr>
        <w:br/>
        <w:t>实施情况：</w:t>
      </w:r>
      <w:r>
        <w:rPr>
          <w:rStyle w:val="ad"/>
          <w:rFonts w:ascii="楷体" w:eastAsia="楷体" w:hAnsi="楷体" w:hint="eastAsia"/>
          <w:spacing w:val="-4"/>
          <w:sz w:val="32"/>
          <w:szCs w:val="32"/>
        </w:rPr>
        <w:br/>
        <w:t>由后勤管理处牵头，严格按照学校基建管理制度执行。对已竣工并完成结算审计的项目，建立基建项目结算台账，明确各项目尾款及质保金支付节点。</w:t>
      </w:r>
      <w:r>
        <w:rPr>
          <w:rStyle w:val="ad"/>
          <w:rFonts w:ascii="楷体" w:eastAsia="楷体" w:hAnsi="楷体" w:hint="eastAsia"/>
          <w:spacing w:val="-4"/>
          <w:sz w:val="32"/>
          <w:szCs w:val="32"/>
        </w:rPr>
        <w:br/>
        <w:t>资金支付实行“结算审计先行、支付申请审核、财务复核拨付”的流程。对于质保期满且无质量问题的项目，按时退还质保金。通过该项目的实施，有效保障了基建项目的顺利闭环。</w:t>
      </w:r>
      <w:r>
        <w:rPr>
          <w:rStyle w:val="ad"/>
          <w:rFonts w:ascii="楷体" w:eastAsia="楷体" w:hAnsi="楷体" w:hint="eastAsia"/>
          <w:spacing w:val="-4"/>
          <w:sz w:val="32"/>
          <w:szCs w:val="32"/>
        </w:rPr>
        <w:br/>
        <w:t>（三）资金投入和使用情况</w:t>
      </w:r>
      <w:r>
        <w:rPr>
          <w:rStyle w:val="ad"/>
          <w:rFonts w:ascii="楷体" w:eastAsia="楷体" w:hAnsi="楷体" w:hint="eastAsia"/>
          <w:spacing w:val="-4"/>
          <w:sz w:val="32"/>
          <w:szCs w:val="32"/>
        </w:rPr>
        <w:br/>
        <w:t>1.资金来源与投入</w:t>
      </w:r>
      <w:r>
        <w:rPr>
          <w:rStyle w:val="ad"/>
          <w:rFonts w:ascii="楷体" w:eastAsia="楷体" w:hAnsi="楷体" w:hint="eastAsia"/>
          <w:spacing w:val="-4"/>
          <w:sz w:val="32"/>
          <w:szCs w:val="32"/>
        </w:rPr>
        <w:br/>
        <w:t>本项目资金来源为学校自有资金，具体来源于学校财政专户和基本户。</w:t>
      </w:r>
      <w:r>
        <w:rPr>
          <w:rStyle w:val="ad"/>
          <w:rFonts w:ascii="楷体" w:eastAsia="楷体" w:hAnsi="楷体" w:hint="eastAsia"/>
          <w:spacing w:val="-4"/>
          <w:sz w:val="32"/>
          <w:szCs w:val="32"/>
        </w:rPr>
        <w:br/>
        <w:t>财政专户资金：主要包括学生缴纳的学费、住宿费等非税收入。这部分资金严格按照“收支两条线”管理，纳入学校预算统筹安排，是该项目资金的主要来源。</w:t>
      </w:r>
      <w:r>
        <w:rPr>
          <w:rStyle w:val="ad"/>
          <w:rFonts w:ascii="楷体" w:eastAsia="楷体" w:hAnsi="楷体" w:hint="eastAsia"/>
          <w:spacing w:val="-4"/>
          <w:sz w:val="32"/>
          <w:szCs w:val="32"/>
        </w:rPr>
        <w:br/>
        <w:t>基本户资金：主要包括学校的捐赠收入、利息收入以及其他收入。这部分资金作为补充，用于保障项目的灵活性支出。</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br/>
        <w:t>学校按照“以收定支”的原则，在充分测算年度财政专户及基本户资金流入的基础上，结合上年度结转结余情况，确定非财拨项目的年度预算总盘子，将资金明确投入到上述四大类工作中。</w:t>
      </w:r>
      <w:r>
        <w:rPr>
          <w:rStyle w:val="ad"/>
          <w:rFonts w:ascii="楷体" w:eastAsia="楷体" w:hAnsi="楷体" w:hint="eastAsia"/>
          <w:spacing w:val="-4"/>
          <w:sz w:val="32"/>
          <w:szCs w:val="32"/>
        </w:rPr>
        <w:br/>
        <w:t>2.资金使用情况</w:t>
      </w:r>
      <w:r>
        <w:rPr>
          <w:rStyle w:val="ad"/>
          <w:rFonts w:ascii="楷体" w:eastAsia="楷体" w:hAnsi="楷体" w:hint="eastAsia"/>
          <w:spacing w:val="-4"/>
          <w:sz w:val="32"/>
          <w:szCs w:val="32"/>
        </w:rPr>
        <w:br/>
        <w:t>本项目资金按照“按预算、按进度、按程序”的原则进行支付。</w:t>
      </w:r>
      <w:r>
        <w:rPr>
          <w:rStyle w:val="ad"/>
          <w:rFonts w:ascii="楷体" w:eastAsia="楷体" w:hAnsi="楷体" w:hint="eastAsia"/>
          <w:spacing w:val="-4"/>
          <w:sz w:val="32"/>
          <w:szCs w:val="32"/>
        </w:rPr>
        <w:br/>
        <w:t>支付原则：严格按照实际执行情况完成支付。即根据学生资助的实际评审结果、还本付息的到期金额、教学科研活动的实际进度以及设备采购合同的履约进度，据实办理资金支付手续。</w:t>
      </w:r>
      <w:r>
        <w:rPr>
          <w:rStyle w:val="ad"/>
          <w:rFonts w:ascii="楷体" w:eastAsia="楷体" w:hAnsi="楷体" w:hint="eastAsia"/>
          <w:spacing w:val="-4"/>
          <w:sz w:val="32"/>
          <w:szCs w:val="32"/>
        </w:rPr>
        <w:br/>
        <w:t>支付流程：</w:t>
      </w:r>
      <w:r>
        <w:rPr>
          <w:rStyle w:val="ad"/>
          <w:rFonts w:ascii="楷体" w:eastAsia="楷体" w:hAnsi="楷体" w:hint="eastAsia"/>
          <w:spacing w:val="-4"/>
          <w:sz w:val="32"/>
          <w:szCs w:val="32"/>
        </w:rPr>
        <w:br/>
        <w:t>归口管理：各业务主管部门（如学生处、教务处、科学技术处、资产管理处）根据业务开展情况，提交支付申请及相关佐证材料（如发放名单、发票、合同、验收报告等）。</w:t>
      </w:r>
      <w:r>
        <w:rPr>
          <w:rStyle w:val="ad"/>
          <w:rFonts w:ascii="楷体" w:eastAsia="楷体" w:hAnsi="楷体" w:hint="eastAsia"/>
          <w:spacing w:val="-4"/>
          <w:sz w:val="32"/>
          <w:szCs w:val="32"/>
        </w:rPr>
        <w:br/>
        <w:t>财务审核：计划财务处对支付申请的合规性、准确性、预算相符性进行审核。重点审核资金用途是否符合非财拨项目预算范围，支付标准是否符合规定，审批手续是否齐全。</w:t>
      </w:r>
      <w:r>
        <w:rPr>
          <w:rStyle w:val="ad"/>
          <w:rFonts w:ascii="楷体" w:eastAsia="楷体" w:hAnsi="楷体" w:hint="eastAsia"/>
          <w:spacing w:val="-4"/>
          <w:sz w:val="32"/>
          <w:szCs w:val="32"/>
        </w:rPr>
        <w:br/>
        <w:t>资金划转：审核无误后，根据资金来源性质，分别从学校财政专户或基本户将资金直接支付给最终收款人（学生、教职工、供应商或银行）。对于批量发放的学生资助款项，通过银校直连系统实现秒级到账；对于设备采购等对公支付，严格遵循合同约定支付节点。</w:t>
      </w:r>
      <w:r>
        <w:rPr>
          <w:rStyle w:val="ad"/>
          <w:rFonts w:ascii="楷体" w:eastAsia="楷体" w:hAnsi="楷体" w:hint="eastAsia"/>
          <w:spacing w:val="-4"/>
          <w:sz w:val="32"/>
          <w:szCs w:val="32"/>
        </w:rPr>
        <w:br/>
        <w:t>使用效益：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时效性强：确保了学生奖助学金按月或按评定周期准时发放，</w:t>
      </w:r>
      <w:r>
        <w:rPr>
          <w:rStyle w:val="ad"/>
          <w:rFonts w:ascii="楷体" w:eastAsia="楷体" w:hAnsi="楷体" w:hint="eastAsia"/>
          <w:spacing w:val="-4"/>
          <w:sz w:val="32"/>
          <w:szCs w:val="32"/>
        </w:rPr>
        <w:lastRenderedPageBreak/>
        <w:t>银行贷款本息按期偿还，有效维护了校园稳定和学校信用。</w:t>
      </w:r>
      <w:r>
        <w:rPr>
          <w:rStyle w:val="ad"/>
          <w:rFonts w:ascii="楷体" w:eastAsia="楷体" w:hAnsi="楷体" w:hint="eastAsia"/>
          <w:spacing w:val="-4"/>
          <w:sz w:val="32"/>
          <w:szCs w:val="32"/>
        </w:rPr>
        <w:br/>
        <w:t>配置精准：资金使用聚焦于财政拨款难以覆盖的“痛点”和“堵点”，精准补齐了教学科研硬件短板，激发了师生科研创新活力。</w:t>
      </w:r>
      <w:r>
        <w:rPr>
          <w:rStyle w:val="ad"/>
          <w:rFonts w:ascii="楷体" w:eastAsia="楷体" w:hAnsi="楷体" w:hint="eastAsia"/>
          <w:spacing w:val="-4"/>
          <w:sz w:val="32"/>
          <w:szCs w:val="32"/>
        </w:rPr>
        <w:br/>
        <w:t>管理规范：所有支出均纳入学校预算一体化管理，实现了从预算编制、执行控制到会计核算、绩效评价的全流程闭环管理，确保了资金使用的安全、规范、高效。</w:t>
      </w:r>
    </w:p>
    <w:p w14:paraId="7969F728" w14:textId="77777777" w:rsidR="005B2D6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（二）项目绩效目标。包括总体目标和阶段性目标。</w:t>
      </w:r>
    </w:p>
    <w:p w14:paraId="713BAE7E"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总目标：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r>
        <w:rPr>
          <w:rStyle w:val="ad"/>
          <w:rFonts w:ascii="楷体" w:eastAsia="楷体" w:hAnsi="楷体" w:hint="eastAsia"/>
          <w:spacing w:val="-4"/>
          <w:sz w:val="32"/>
          <w:szCs w:val="32"/>
        </w:rPr>
        <w:br/>
        <w:t>阶段性目标：为保障非财拨项目规范、高效实施，确保资金精准投放、刚性支出按时兑付、重点任务有序推进，结合学校工作实际，制定本项目的阶段性目标。项目周期原则上按自然年度划分，各阶段目标如下：</w:t>
      </w:r>
      <w:r>
        <w:rPr>
          <w:rStyle w:val="ad"/>
          <w:rFonts w:ascii="楷体" w:eastAsia="楷体" w:hAnsi="楷体" w:hint="eastAsia"/>
          <w:spacing w:val="-4"/>
          <w:sz w:val="32"/>
          <w:szCs w:val="32"/>
        </w:rPr>
        <w:br/>
        <w:t>第一阶段：项目筹备与预算编制阶段（每年7月—12月）</w:t>
      </w:r>
      <w:r>
        <w:rPr>
          <w:rStyle w:val="ad"/>
          <w:rFonts w:ascii="楷体" w:eastAsia="楷体" w:hAnsi="楷体" w:hint="eastAsia"/>
          <w:spacing w:val="-4"/>
          <w:sz w:val="32"/>
          <w:szCs w:val="32"/>
        </w:rPr>
        <w:br/>
        <w:t>完成下一年度非财拨项目的立项论证、资金测算与预算草案编制，确保项目设置科学、预算安排合理、资金来源可靠。</w:t>
      </w:r>
      <w:r>
        <w:rPr>
          <w:rStyle w:val="ad"/>
          <w:rFonts w:ascii="楷体" w:eastAsia="楷体" w:hAnsi="楷体" w:hint="eastAsia"/>
          <w:spacing w:val="-4"/>
          <w:sz w:val="32"/>
          <w:szCs w:val="32"/>
        </w:rPr>
        <w:br/>
        <w:t>第二阶段：预算下达与执行启动阶段（每年1月—2月）</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完成年度项目预算的分解下达，启动各板块资金支付准备工作，确保开学初刚性支出及时到位。</w:t>
      </w:r>
      <w:r>
        <w:rPr>
          <w:rStyle w:val="ad"/>
          <w:rFonts w:ascii="楷体" w:eastAsia="楷体" w:hAnsi="楷体" w:hint="eastAsia"/>
          <w:spacing w:val="-4"/>
          <w:sz w:val="32"/>
          <w:szCs w:val="32"/>
        </w:rPr>
        <w:br/>
        <w:t>第三阶段：全面执行与过程监控阶段（每年3月—10月）</w:t>
      </w:r>
      <w:r>
        <w:rPr>
          <w:rStyle w:val="ad"/>
          <w:rFonts w:ascii="楷体" w:eastAsia="楷体" w:hAnsi="楷体" w:hint="eastAsia"/>
          <w:spacing w:val="-4"/>
          <w:sz w:val="32"/>
          <w:szCs w:val="32"/>
        </w:rPr>
        <w:br/>
        <w:t>按照“按预算、按进度、按程序”原则，有序推进各板块资金支付，强化过程监控与预算调整管理，确保资金使用规范、效益显现。</w:t>
      </w:r>
      <w:r>
        <w:rPr>
          <w:rStyle w:val="ad"/>
          <w:rFonts w:ascii="楷体" w:eastAsia="楷体" w:hAnsi="楷体" w:hint="eastAsia"/>
          <w:spacing w:val="-4"/>
          <w:sz w:val="32"/>
          <w:szCs w:val="32"/>
        </w:rPr>
        <w:br/>
        <w:t>第四阶段：年终决算与绩效评价阶段（每年11月—12月）</w:t>
      </w:r>
      <w:r>
        <w:rPr>
          <w:rStyle w:val="ad"/>
          <w:rFonts w:ascii="楷体" w:eastAsia="楷体" w:hAnsi="楷体" w:hint="eastAsia"/>
          <w:spacing w:val="-4"/>
          <w:sz w:val="32"/>
          <w:szCs w:val="32"/>
        </w:rPr>
        <w:br/>
        <w:t>完成年度非财拨项目资金支付收尾工作，开展项目绩效评价，总结年度实施情况，为下一年度项目优化提供依据。</w:t>
      </w:r>
    </w:p>
    <w:p w14:paraId="19A20672" w14:textId="77777777" w:rsidR="005B2D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77DE01D4" w14:textId="77777777" w:rsidR="005B2D6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1AF9079F"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w:t>
      </w:r>
      <w:r>
        <w:rPr>
          <w:rStyle w:val="ad"/>
          <w:rFonts w:ascii="楷体" w:eastAsia="楷体" w:hAnsi="楷体" w:hint="eastAsia"/>
          <w:spacing w:val="-4"/>
          <w:sz w:val="32"/>
          <w:szCs w:val="32"/>
        </w:rPr>
        <w:br/>
        <w:t>1. 保障资金使用合规性</w:t>
      </w:r>
      <w:r>
        <w:rPr>
          <w:rStyle w:val="ad"/>
          <w:rFonts w:ascii="楷体" w:eastAsia="楷体" w:hAnsi="楷体" w:hint="eastAsia"/>
          <w:spacing w:val="-4"/>
          <w:sz w:val="32"/>
          <w:szCs w:val="32"/>
        </w:rPr>
        <w:br/>
        <w:t>通过绩效评价，全面核查非财拨项目资金从预算编制、资金拨付到实际使用的全过程合规性。重点检查资金是否严格按照批准的预算用途使用，是否存在挤占、挪用、虚列支出等违规行为；各项支付是否符合国家财经法规、学校财务管理制度及政府采购、基建管理等相关规定；会计核算是否真实、准确、完整。通过评价，进一步强化资金使用的红线意识，确保每一笔非财拨资金都用在“刀刃”上，经得起审计和监督的检验。</w:t>
      </w:r>
      <w:r>
        <w:rPr>
          <w:rStyle w:val="ad"/>
          <w:rFonts w:ascii="楷体" w:eastAsia="楷体" w:hAnsi="楷体" w:hint="eastAsia"/>
          <w:spacing w:val="-4"/>
          <w:sz w:val="32"/>
          <w:szCs w:val="32"/>
        </w:rPr>
        <w:br/>
        <w:t>2.提升项目管理效能</w:t>
      </w:r>
      <w:r>
        <w:rPr>
          <w:rStyle w:val="ad"/>
          <w:rFonts w:ascii="楷体" w:eastAsia="楷体" w:hAnsi="楷体" w:hint="eastAsia"/>
          <w:spacing w:val="-4"/>
          <w:sz w:val="32"/>
          <w:szCs w:val="32"/>
        </w:rPr>
        <w:br/>
        <w:t>通过对项目立项、预算执行、过程监控、结题验收等各环节的绩效评价，系统梳理项目管理中的优势与不足。重点评价各归口管理部门是否按照阶段性目标要求推进工作，资金支付进度是否与业务开展进度相匹配，是否存在资金沉淀或支付滞后现</w:t>
      </w:r>
      <w:r>
        <w:rPr>
          <w:rStyle w:val="ad"/>
          <w:rFonts w:ascii="楷体" w:eastAsia="楷体" w:hAnsi="楷体" w:hint="eastAsia"/>
          <w:spacing w:val="-4"/>
          <w:sz w:val="32"/>
          <w:szCs w:val="32"/>
        </w:rPr>
        <w:lastRenderedPageBreak/>
        <w:t>象，各项审批流程是否规范高效。通过评价，发现项目管理中的堵点和薄弱环节，推动完善项目管理制度，优化工作流程，提升项目管理的精细化、规范化水平。</w:t>
      </w:r>
      <w:r>
        <w:rPr>
          <w:rStyle w:val="ad"/>
          <w:rFonts w:ascii="楷体" w:eastAsia="楷体" w:hAnsi="楷体" w:hint="eastAsia"/>
          <w:spacing w:val="-4"/>
          <w:sz w:val="32"/>
          <w:szCs w:val="32"/>
        </w:rPr>
        <w:br/>
        <w:t>3.促进资源优化配置</w:t>
      </w:r>
      <w:r>
        <w:rPr>
          <w:rStyle w:val="ad"/>
          <w:rFonts w:ascii="楷体" w:eastAsia="楷体" w:hAnsi="楷体" w:hint="eastAsia"/>
          <w:spacing w:val="-4"/>
          <w:sz w:val="32"/>
          <w:szCs w:val="32"/>
        </w:rPr>
        <w:br/>
        <w:t>通过分析非财拨资金在不同板块（学生资助、还本付息、教学科研、设备采购、基建结算）之间的投入结构、使用效益及产出效果，评价资源配置的合理性与科学性。重点考量资金是否优先保障了刚性支出（如还本付息、学生资助），是否有效支撑了学校重点发展领域（如教学改革、科研创新、设备更新），是否产生了预期的经济效益和社会效益。通过评价，为下一年度非财拨项目预算安排提供决策依据，引导资源向使用效益高、管理规范的领域倾斜，实现学校自有资金的优化配置和高效利用。</w:t>
      </w:r>
      <w:r>
        <w:rPr>
          <w:rStyle w:val="ad"/>
          <w:rFonts w:ascii="楷体" w:eastAsia="楷体" w:hAnsi="楷体" w:hint="eastAsia"/>
          <w:spacing w:val="-4"/>
          <w:sz w:val="32"/>
          <w:szCs w:val="32"/>
        </w:rPr>
        <w:br/>
        <w:t>（二）绩效评价对象</w:t>
      </w:r>
      <w:r>
        <w:rPr>
          <w:rStyle w:val="ad"/>
          <w:rFonts w:ascii="楷体" w:eastAsia="楷体" w:hAnsi="楷体" w:hint="eastAsia"/>
          <w:spacing w:val="-4"/>
          <w:sz w:val="32"/>
          <w:szCs w:val="32"/>
        </w:rPr>
        <w:br/>
        <w:t>本次绩效评价的对象为纳入新疆医科大学非财拨项目管理的全部资金及相关业务活动。具体包括：</w:t>
      </w:r>
      <w:r>
        <w:rPr>
          <w:rStyle w:val="ad"/>
          <w:rFonts w:ascii="楷体" w:eastAsia="楷体" w:hAnsi="楷体" w:hint="eastAsia"/>
          <w:spacing w:val="-4"/>
          <w:sz w:val="32"/>
          <w:szCs w:val="32"/>
        </w:rPr>
        <w:br/>
        <w:t>1.资金对象</w:t>
      </w:r>
      <w:r>
        <w:rPr>
          <w:rStyle w:val="ad"/>
          <w:rFonts w:ascii="楷体" w:eastAsia="楷体" w:hAnsi="楷体" w:hint="eastAsia"/>
          <w:spacing w:val="-4"/>
          <w:sz w:val="32"/>
          <w:szCs w:val="32"/>
        </w:rPr>
        <w:br/>
        <w:t>评价对象涵盖年度非财拨项目预算安排的所有资金，包括从学校财政专户（学费、住宿费等非税收入）和基本户（捐赠收入、利息收入等）统筹投入的全部资金。</w:t>
      </w:r>
      <w:r>
        <w:rPr>
          <w:rStyle w:val="ad"/>
          <w:rFonts w:ascii="楷体" w:eastAsia="楷体" w:hAnsi="楷体" w:hint="eastAsia"/>
          <w:spacing w:val="-4"/>
          <w:sz w:val="32"/>
          <w:szCs w:val="32"/>
        </w:rPr>
        <w:br/>
        <w:t>2.项目对象</w:t>
      </w:r>
      <w:r>
        <w:rPr>
          <w:rStyle w:val="ad"/>
          <w:rFonts w:ascii="楷体" w:eastAsia="楷体" w:hAnsi="楷体" w:hint="eastAsia"/>
          <w:spacing w:val="-4"/>
          <w:sz w:val="32"/>
          <w:szCs w:val="32"/>
        </w:rPr>
        <w:br/>
        <w:t>评价对象覆盖非财拨项目的五大核心板块，具体为：</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学生资助与还本付息类项目：包括校内奖学金、勤工助学酬金、特殊困难补助等资助资金；以及银行贷款本金及利息偿还资金。</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教学与科研保障类项目：包括教学改革、专业建设、实验教学耗材、实习实践基地建设、教师培训等教学保障资金；以及校级科研项目启动、科研平台运行维护、科研成果奖励、学术交流等科研保障资金。</w:t>
      </w:r>
      <w:r>
        <w:rPr>
          <w:rStyle w:val="ad"/>
          <w:rFonts w:ascii="楷体" w:eastAsia="楷体" w:hAnsi="楷体" w:hint="eastAsia"/>
          <w:spacing w:val="-4"/>
          <w:sz w:val="32"/>
          <w:szCs w:val="32"/>
        </w:rPr>
        <w:br/>
        <w:t>设备采购类项目：包括教学通用设备、实验仪器、临床模拟训练设备、科研专用仪器设备等采购资金。</w:t>
      </w:r>
      <w:r>
        <w:rPr>
          <w:rStyle w:val="ad"/>
          <w:rFonts w:ascii="楷体" w:eastAsia="楷体" w:hAnsi="楷体" w:hint="eastAsia"/>
          <w:spacing w:val="-4"/>
          <w:sz w:val="32"/>
          <w:szCs w:val="32"/>
        </w:rPr>
        <w:br/>
        <w:t>基建结算类项目：包括已竣工基建项目的工程尾款、质量保证金、竣工财务决算审计费用等。</w:t>
      </w:r>
      <w:r>
        <w:rPr>
          <w:rStyle w:val="ad"/>
          <w:rFonts w:ascii="楷体" w:eastAsia="楷体" w:hAnsi="楷体" w:hint="eastAsia"/>
          <w:spacing w:val="-4"/>
          <w:sz w:val="32"/>
          <w:szCs w:val="32"/>
        </w:rPr>
        <w:br/>
        <w:t>（三）绩效评价范围</w:t>
      </w:r>
      <w:r>
        <w:rPr>
          <w:rStyle w:val="ad"/>
          <w:rFonts w:ascii="楷体" w:eastAsia="楷体" w:hAnsi="楷体" w:hint="eastAsia"/>
          <w:spacing w:val="-4"/>
          <w:sz w:val="32"/>
          <w:szCs w:val="32"/>
        </w:rPr>
        <w:br/>
        <w:t>1.时间范围</w:t>
      </w:r>
      <w:r>
        <w:rPr>
          <w:rStyle w:val="ad"/>
          <w:rFonts w:ascii="楷体" w:eastAsia="楷体" w:hAnsi="楷体" w:hint="eastAsia"/>
          <w:spacing w:val="-4"/>
          <w:sz w:val="32"/>
          <w:szCs w:val="32"/>
        </w:rPr>
        <w:br/>
        <w:t>本次绩效评价的时间范围为一个完整的自然年度（1月1日至12月31日）。评价内容涵盖该年度内非财拨项目的预算编制、预算执行、资金支付、会计核算、项目完成及绩效实现等全周期情况。</w:t>
      </w:r>
      <w:r>
        <w:rPr>
          <w:rStyle w:val="ad"/>
          <w:rFonts w:ascii="楷体" w:eastAsia="楷体" w:hAnsi="楷体" w:hint="eastAsia"/>
          <w:spacing w:val="-4"/>
          <w:sz w:val="32"/>
          <w:szCs w:val="32"/>
        </w:rPr>
        <w:br/>
        <w:t>2.资金范围</w:t>
      </w:r>
      <w:r>
        <w:rPr>
          <w:rStyle w:val="ad"/>
          <w:rFonts w:ascii="楷体" w:eastAsia="楷体" w:hAnsi="楷体" w:hint="eastAsia"/>
          <w:spacing w:val="-4"/>
          <w:sz w:val="32"/>
          <w:szCs w:val="32"/>
        </w:rPr>
        <w:br/>
        <w:t>评价范围包括该年度学校预算下达的全部非财拨项目资金，具体涵盖：财政专户资金中纳入非财拨项目预算的部分；基本户资金中纳入非财拨项目预算的部分；上年度结转至本年度使用的非财拨项目资金。</w:t>
      </w:r>
      <w:r>
        <w:rPr>
          <w:rStyle w:val="ad"/>
          <w:rFonts w:ascii="楷体" w:eastAsia="楷体" w:hAnsi="楷体" w:hint="eastAsia"/>
          <w:spacing w:val="-4"/>
          <w:sz w:val="32"/>
          <w:szCs w:val="32"/>
        </w:rPr>
        <w:br/>
        <w:t>3. 内容范围</w:t>
      </w:r>
      <w:r>
        <w:rPr>
          <w:rStyle w:val="ad"/>
          <w:rFonts w:ascii="楷体" w:eastAsia="楷体" w:hAnsi="楷体" w:hint="eastAsia"/>
          <w:spacing w:val="-4"/>
          <w:sz w:val="32"/>
          <w:szCs w:val="32"/>
        </w:rPr>
        <w:br/>
        <w:t>评价范围覆盖非财拨项目管理的全过程和全要素，具体包括：</w:t>
      </w:r>
      <w:r>
        <w:rPr>
          <w:rStyle w:val="ad"/>
          <w:rFonts w:ascii="楷体" w:eastAsia="楷体" w:hAnsi="楷体" w:hint="eastAsia"/>
          <w:spacing w:val="-4"/>
          <w:sz w:val="32"/>
          <w:szCs w:val="32"/>
        </w:rPr>
        <w:br/>
        <w:t>决策过程：项目立项是否经过充分论证，预算编制是否科学合理，审批程序是否规范完整。</w:t>
      </w:r>
      <w:r>
        <w:rPr>
          <w:rStyle w:val="ad"/>
          <w:rFonts w:ascii="楷体" w:eastAsia="楷体" w:hAnsi="楷体" w:hint="eastAsia"/>
          <w:spacing w:val="-4"/>
          <w:sz w:val="32"/>
          <w:szCs w:val="32"/>
        </w:rPr>
        <w:br/>
        <w:t>过程管理：资金支付是否按预算、按进度、按程序执行，内部控制制度是否有效执行，采购流程、基建结算流程是否符合规</w:t>
      </w:r>
      <w:r>
        <w:rPr>
          <w:rStyle w:val="ad"/>
          <w:rFonts w:ascii="楷体" w:eastAsia="楷体" w:hAnsi="楷体" w:hint="eastAsia"/>
          <w:spacing w:val="-4"/>
          <w:sz w:val="32"/>
          <w:szCs w:val="32"/>
        </w:rPr>
        <w:lastRenderedPageBreak/>
        <w:t>定，档案管理是否规范。</w:t>
      </w:r>
      <w:r>
        <w:rPr>
          <w:rStyle w:val="ad"/>
          <w:rFonts w:ascii="楷体" w:eastAsia="楷体" w:hAnsi="楷体" w:hint="eastAsia"/>
          <w:spacing w:val="-4"/>
          <w:sz w:val="32"/>
          <w:szCs w:val="32"/>
        </w:rPr>
        <w:br/>
        <w:t>产出成果：各板块项目是否按计划完成，资金支付进度是否达到阶段性目标要求，设备采购是否按时到货验收，基建结算是否按期完成，学生资助是否足额发放，还本付息是否按期履约。</w:t>
      </w:r>
      <w:r>
        <w:rPr>
          <w:rStyle w:val="ad"/>
          <w:rFonts w:ascii="楷体" w:eastAsia="楷体" w:hAnsi="楷体" w:hint="eastAsia"/>
          <w:spacing w:val="-4"/>
          <w:sz w:val="32"/>
          <w:szCs w:val="32"/>
        </w:rPr>
        <w:br/>
        <w:t>效益效果：资金投入是否产生了预期的教学效益、科研效益、社会效益，是否有效保障了学校事业发展，服务对象（学生、教职工、施工单位等）满意度如何。</w:t>
      </w:r>
    </w:p>
    <w:p w14:paraId="5EA61DED" w14:textId="77777777" w:rsidR="005B2D6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5D6EBA9"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（一）绩效评价原则</w:t>
      </w:r>
      <w:r>
        <w:rPr>
          <w:rStyle w:val="ad"/>
          <w:rFonts w:ascii="楷体" w:eastAsia="楷体" w:hAnsi="楷体" w:hint="eastAsia"/>
          <w:spacing w:val="-4"/>
          <w:sz w:val="32"/>
          <w:szCs w:val="32"/>
        </w:rPr>
        <w:br/>
        <w:t>为确保绩效评价工作的科学性、公正性和有效性，本次绩效评价遵循以下原则：</w:t>
      </w:r>
      <w:r>
        <w:rPr>
          <w:rStyle w:val="ad"/>
          <w:rFonts w:ascii="楷体" w:eastAsia="楷体" w:hAnsi="楷体" w:hint="eastAsia"/>
          <w:spacing w:val="-4"/>
          <w:sz w:val="32"/>
          <w:szCs w:val="32"/>
        </w:rPr>
        <w:br/>
        <w:t>1.客观性原则</w:t>
      </w:r>
      <w:r>
        <w:rPr>
          <w:rStyle w:val="ad"/>
          <w:rFonts w:ascii="楷体" w:eastAsia="楷体" w:hAnsi="楷体" w:hint="eastAsia"/>
          <w:spacing w:val="-4"/>
          <w:sz w:val="32"/>
          <w:szCs w:val="32"/>
        </w:rPr>
        <w:br/>
        <w:t>绩效评价以事实为依据，以数据为支撑，避免主观臆断和人为干扰。评价过程中，严格依据项目立项文件、预算批复、财务账册、支付凭证、验收报告、结算审计报告等原始资料，真实反映资金使用情况和项目实施效果。评价结论力求客观公正，不偏不倚，确保评价结果经得起检验。</w:t>
      </w:r>
      <w:r>
        <w:rPr>
          <w:rStyle w:val="ad"/>
          <w:rFonts w:ascii="楷体" w:eastAsia="楷体" w:hAnsi="楷体" w:hint="eastAsia"/>
          <w:spacing w:val="-4"/>
          <w:sz w:val="32"/>
          <w:szCs w:val="32"/>
        </w:rPr>
        <w:br/>
        <w:t>2.全面性原则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绩效评价覆盖非财拨项目的全生命周期和全要素管理。评价范围涵盖学生资助、还本付息、教学科研保障、设备采购、基建结算五大板块；评价内容涵盖决策过程、过程管理、产出成果、效益效果各环节；评价对象涵盖归口管理部门、执行单位、监督管理部门等各责任主体。通过全方位、多角度的评价，全面</w:t>
      </w:r>
      <w:r>
        <w:rPr>
          <w:rStyle w:val="ad"/>
          <w:rFonts w:ascii="楷体" w:eastAsia="楷体" w:hAnsi="楷体" w:hint="eastAsia"/>
          <w:spacing w:val="-4"/>
          <w:sz w:val="32"/>
          <w:szCs w:val="32"/>
        </w:rPr>
        <w:lastRenderedPageBreak/>
        <w:t>反映项目整体绩效水平。</w:t>
      </w:r>
      <w:r>
        <w:rPr>
          <w:rStyle w:val="ad"/>
          <w:rFonts w:ascii="楷体" w:eastAsia="楷体" w:hAnsi="楷体" w:hint="eastAsia"/>
          <w:spacing w:val="-4"/>
          <w:sz w:val="32"/>
          <w:szCs w:val="32"/>
        </w:rPr>
        <w:br/>
        <w:t>3. 动态性原则</w:t>
      </w:r>
      <w:r>
        <w:rPr>
          <w:rStyle w:val="ad"/>
          <w:rFonts w:ascii="楷体" w:eastAsia="楷体" w:hAnsi="楷体" w:hint="eastAsia"/>
          <w:spacing w:val="-4"/>
          <w:sz w:val="32"/>
          <w:szCs w:val="32"/>
        </w:rPr>
        <w:br/>
        <w:t>绩效评价贯穿项目执行全过程，实施“事前、事中、事后”相结合的动态评价机制。事前评价重点关注项目立项与预算编制的科学性和合理性；事中评价（过程监控）重点关注预算执行进度、资金支付合规性和阶段性目标完成情况，及时发现并纠正偏差；事后评价重点关注项目完成后的产出成果和效益效果，总结经验、发现问题，为后续项目管理提供改进依据。</w:t>
      </w:r>
      <w:r>
        <w:rPr>
          <w:rStyle w:val="ad"/>
          <w:rFonts w:ascii="楷体" w:eastAsia="楷体" w:hAnsi="楷体" w:hint="eastAsia"/>
          <w:spacing w:val="-4"/>
          <w:sz w:val="32"/>
          <w:szCs w:val="32"/>
        </w:rPr>
        <w:br/>
        <w:t>（二）绩效评价指标体系</w:t>
      </w:r>
      <w:r>
        <w:rPr>
          <w:rStyle w:val="ad"/>
          <w:rFonts w:ascii="楷体" w:eastAsia="楷体" w:hAnsi="楷体" w:hint="eastAsia"/>
          <w:spacing w:val="-4"/>
          <w:sz w:val="32"/>
          <w:szCs w:val="32"/>
        </w:rPr>
        <w:br/>
        <w:t>绩效评价指标体系由产出指标、成本指标、效益指标、满意度指标四个一级指标构成，下设若干二级指标和三级指标，全面衡量非财拨项目的实施效果。</w:t>
      </w:r>
      <w:r>
        <w:rPr>
          <w:rStyle w:val="ad"/>
          <w:rFonts w:ascii="楷体" w:eastAsia="楷体" w:hAnsi="楷体" w:hint="eastAsia"/>
          <w:spacing w:val="-4"/>
          <w:sz w:val="32"/>
          <w:szCs w:val="32"/>
        </w:rPr>
        <w:br/>
        <w:t>（三）绩效评价方法</w:t>
      </w:r>
      <w:r>
        <w:rPr>
          <w:rStyle w:val="ad"/>
          <w:rFonts w:ascii="楷体" w:eastAsia="楷体" w:hAnsi="楷体" w:hint="eastAsia"/>
          <w:spacing w:val="-4"/>
          <w:sz w:val="32"/>
          <w:szCs w:val="32"/>
        </w:rPr>
        <w:br/>
        <w:t>本次绩效评价主要采用成本效益法，通过对非财拨项目的投入成本与产出效益进行比较分析，衡量资金使用的经济性、效率性和效益性。</w:t>
      </w:r>
      <w:r>
        <w:rPr>
          <w:rStyle w:val="ad"/>
          <w:rFonts w:ascii="楷体" w:eastAsia="楷体" w:hAnsi="楷体" w:hint="eastAsia"/>
          <w:spacing w:val="-4"/>
          <w:sz w:val="32"/>
          <w:szCs w:val="32"/>
        </w:rPr>
        <w:br/>
        <w:t>成本核算：将非财拨项目投入的资金总额作为“成本”端，按照五大板块进行细化分类核算。包括学生资助支出、还本付息支出、教学科研保障支出、设备采购支出、基建结算支出等。</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效益评估：将项目产生的直接效益和间接效益作为“效益”端进行量化评估。直接效益包括：完成的学生资助人次、按期偿还的债务金额、采购的设备台（套）数、完成的基建结算项目数等。间接效益包括：教学条件改善带来的教学质量提升、科研投入带来的科研成果增长、及时结算带来的供应商满意度提</w:t>
      </w:r>
      <w:r>
        <w:rPr>
          <w:rStyle w:val="ad"/>
          <w:rFonts w:ascii="楷体" w:eastAsia="楷体" w:hAnsi="楷体" w:hint="eastAsia"/>
          <w:spacing w:val="-4"/>
          <w:sz w:val="32"/>
          <w:szCs w:val="32"/>
        </w:rPr>
        <w:lastRenderedPageBreak/>
        <w:t>升等。</w:t>
      </w:r>
      <w:r>
        <w:rPr>
          <w:rStyle w:val="ad"/>
          <w:rFonts w:ascii="楷体" w:eastAsia="楷体" w:hAnsi="楷体" w:hint="eastAsia"/>
          <w:spacing w:val="-4"/>
          <w:sz w:val="32"/>
          <w:szCs w:val="32"/>
        </w:rPr>
        <w:br/>
        <w:t>（四）绩效评价标准</w:t>
      </w:r>
      <w:r>
        <w:rPr>
          <w:rStyle w:val="ad"/>
          <w:rFonts w:ascii="楷体" w:eastAsia="楷体" w:hAnsi="楷体" w:hint="eastAsia"/>
          <w:spacing w:val="-4"/>
          <w:sz w:val="32"/>
          <w:szCs w:val="32"/>
        </w:rPr>
        <w:br/>
        <w:t>绩效评价标准分为定量标准和定性标准两类，用于衡量各指标的实际完成情况。</w:t>
      </w:r>
      <w:r>
        <w:rPr>
          <w:rStyle w:val="ad"/>
          <w:rFonts w:ascii="楷体" w:eastAsia="楷体" w:hAnsi="楷体" w:hint="eastAsia"/>
          <w:spacing w:val="-4"/>
          <w:sz w:val="32"/>
          <w:szCs w:val="32"/>
        </w:rPr>
        <w:br/>
        <w:t>1.定量评价标准</w:t>
      </w:r>
      <w:r>
        <w:rPr>
          <w:rStyle w:val="ad"/>
          <w:rFonts w:ascii="楷体" w:eastAsia="楷体" w:hAnsi="楷体" w:hint="eastAsia"/>
          <w:spacing w:val="-4"/>
          <w:sz w:val="32"/>
          <w:szCs w:val="32"/>
        </w:rPr>
        <w:br/>
        <w:t>定量评价标准以数据为依据，设定明确的评价等级和评分区间。本次评价采用百分制，各定量指标根据完成情况计算得分。</w:t>
      </w:r>
      <w:r>
        <w:rPr>
          <w:rStyle w:val="ad"/>
          <w:rFonts w:ascii="楷体" w:eastAsia="楷体" w:hAnsi="楷体" w:hint="eastAsia"/>
          <w:spacing w:val="-4"/>
          <w:sz w:val="32"/>
          <w:szCs w:val="32"/>
        </w:rPr>
        <w:br/>
        <w:t>2.定性评价标准</w:t>
      </w:r>
      <w:r>
        <w:rPr>
          <w:rStyle w:val="ad"/>
          <w:rFonts w:ascii="楷体" w:eastAsia="楷体" w:hAnsi="楷体" w:hint="eastAsia"/>
          <w:spacing w:val="-4"/>
          <w:sz w:val="32"/>
          <w:szCs w:val="32"/>
        </w:rPr>
        <w:br/>
        <w:t>定性评价标准采用等级描述法，通过综合评价确定等级。</w:t>
      </w:r>
    </w:p>
    <w:p w14:paraId="411B6EB6" w14:textId="77777777" w:rsidR="005B2D6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54731E6C"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为确保非财拨项目绩效评价工作规范、有序、高效开展，学校按照“统一组织、分工负责、规范实施、注重实效”的原则，组织开展年度绩效评价工作。具体工作过程如下：</w:t>
      </w:r>
      <w:r>
        <w:rPr>
          <w:rStyle w:val="ad"/>
          <w:rFonts w:ascii="楷体" w:eastAsia="楷体" w:hAnsi="楷体" w:hint="eastAsia"/>
          <w:spacing w:val="-4"/>
          <w:sz w:val="32"/>
          <w:szCs w:val="32"/>
        </w:rPr>
        <w:br/>
        <w:t>（一）前期准备阶段（每年10月—11月）</w:t>
      </w:r>
      <w:r>
        <w:rPr>
          <w:rStyle w:val="ad"/>
          <w:rFonts w:ascii="楷体" w:eastAsia="楷体" w:hAnsi="楷体" w:hint="eastAsia"/>
          <w:spacing w:val="-4"/>
          <w:sz w:val="32"/>
          <w:szCs w:val="32"/>
        </w:rPr>
        <w:br/>
        <w:t>建立健全绩效评价工作机制，明确评价任务与分工，制定评价工作方案，为评价工作顺利开展奠定基础。</w:t>
      </w:r>
      <w:r>
        <w:rPr>
          <w:rStyle w:val="ad"/>
          <w:rFonts w:ascii="楷体" w:eastAsia="楷体" w:hAnsi="楷体" w:hint="eastAsia"/>
          <w:spacing w:val="-4"/>
          <w:sz w:val="32"/>
          <w:szCs w:val="32"/>
        </w:rPr>
        <w:br/>
        <w:t>（二）组织实施阶段（每年12月）</w:t>
      </w:r>
      <w:r>
        <w:rPr>
          <w:rStyle w:val="ad"/>
          <w:rFonts w:ascii="楷体" w:eastAsia="楷体" w:hAnsi="楷体" w:hint="eastAsia"/>
          <w:spacing w:val="-4"/>
          <w:sz w:val="32"/>
          <w:szCs w:val="32"/>
        </w:rPr>
        <w:br/>
        <w:t>各责任部门按要求开展绩效自评，全面收集评价资料。</w:t>
      </w:r>
      <w:r>
        <w:rPr>
          <w:rStyle w:val="ad"/>
          <w:rFonts w:ascii="楷体" w:eastAsia="楷体" w:hAnsi="楷体" w:hint="eastAsia"/>
          <w:spacing w:val="-4"/>
          <w:sz w:val="32"/>
          <w:szCs w:val="32"/>
        </w:rPr>
        <w:br/>
        <w:t>（三）分析评价阶段（每年12月底）</w:t>
      </w:r>
      <w:r>
        <w:rPr>
          <w:rStyle w:val="ad"/>
          <w:rFonts w:ascii="楷体" w:eastAsia="楷体" w:hAnsi="楷体" w:hint="eastAsia"/>
          <w:spacing w:val="-4"/>
          <w:sz w:val="32"/>
          <w:szCs w:val="32"/>
        </w:rPr>
        <w:br/>
        <w:t>运用成本效益法对项目进行综合评价，形成绩效评价结论。对绩效评价中发现的问题进行深入分析，分析预算执行率偏低的原因。</w:t>
      </w:r>
      <w:r>
        <w:rPr>
          <w:rStyle w:val="ad"/>
          <w:rFonts w:ascii="楷体" w:eastAsia="楷体" w:hAnsi="楷体" w:hint="eastAsia"/>
          <w:spacing w:val="-4"/>
          <w:sz w:val="32"/>
          <w:szCs w:val="32"/>
        </w:rPr>
        <w:br/>
        <w:t>（四）结果应用与整改阶段（次年1月—2月）</w:t>
      </w:r>
      <w:r>
        <w:rPr>
          <w:rStyle w:val="ad"/>
          <w:rFonts w:ascii="楷体" w:eastAsia="楷体" w:hAnsi="楷体" w:hint="eastAsia"/>
          <w:spacing w:val="-4"/>
          <w:sz w:val="32"/>
          <w:szCs w:val="32"/>
        </w:rPr>
        <w:br/>
        <w:t>将绩效评价结果应用于预算安排和管理改进，推动问题整改，实现绩效管理闭环。健全绩效管理长效机制，将绩效理念和方</w:t>
      </w:r>
      <w:r>
        <w:rPr>
          <w:rStyle w:val="ad"/>
          <w:rFonts w:ascii="楷体" w:eastAsia="楷体" w:hAnsi="楷体" w:hint="eastAsia"/>
          <w:spacing w:val="-4"/>
          <w:sz w:val="32"/>
          <w:szCs w:val="32"/>
        </w:rPr>
        <w:lastRenderedPageBreak/>
        <w:t>法深度融入项目管理全过程。按照工作要求填报指标执行结果，上报主管部门。</w:t>
      </w:r>
    </w:p>
    <w:p w14:paraId="5F62FB0F" w14:textId="77777777" w:rsidR="005B2D6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734668E1"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学校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p w14:paraId="6F32784C" w14:textId="77777777" w:rsidR="005B2D6A"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7E3DDF7C" w14:textId="77777777" w:rsidR="005B2D6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（一）项目决策情况。</w:t>
      </w:r>
    </w:p>
    <w:p w14:paraId="26B39D32"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本项目的设立与决策过程充分体现了学校党委对事业发展全局的科学把控和对资金资源的高效统筹。</w:t>
      </w:r>
      <w:r>
        <w:rPr>
          <w:rStyle w:val="ad"/>
          <w:rFonts w:ascii="楷体" w:eastAsia="楷体" w:hAnsi="楷体" w:hint="eastAsia"/>
          <w:spacing w:val="-4"/>
          <w:sz w:val="32"/>
          <w:szCs w:val="32"/>
        </w:rPr>
        <w:br/>
        <w:t>决策依据充分：项目严格遵循学校党委的统一决策部署，紧紧围绕学校年度重点工作任务和发展规划，结合学校财政专户及基本户资金情况，经校党委常委会审定后正式立项。决策过程符合《新疆医科大学预算管理办法》及相关议事规则要求，决策依据充分、程序规范。</w:t>
      </w:r>
      <w:r>
        <w:rPr>
          <w:rStyle w:val="ad"/>
          <w:rFonts w:ascii="楷体" w:eastAsia="楷体" w:hAnsi="楷体" w:hint="eastAsia"/>
          <w:spacing w:val="-4"/>
          <w:sz w:val="32"/>
          <w:szCs w:val="32"/>
        </w:rPr>
        <w:br/>
      </w:r>
      <w:r>
        <w:rPr>
          <w:rStyle w:val="ad"/>
          <w:rFonts w:ascii="楷体" w:eastAsia="楷体" w:hAnsi="楷体" w:hint="eastAsia"/>
          <w:spacing w:val="-4"/>
          <w:sz w:val="32"/>
          <w:szCs w:val="32"/>
        </w:rPr>
        <w:br/>
        <w:t>项目内容明确：项目内容聚焦学生资助、还本付息、教学保障、科研保障、设备采购、基建结算六大板块，精准覆盖学校运行与发展的关键领域，体现了“保刚性、保重点、保发展”的资金安排导向。</w:t>
      </w:r>
      <w:r>
        <w:rPr>
          <w:rStyle w:val="ad"/>
          <w:rFonts w:ascii="楷体" w:eastAsia="楷体" w:hAnsi="楷体" w:hint="eastAsia"/>
          <w:spacing w:val="-4"/>
          <w:sz w:val="32"/>
          <w:szCs w:val="32"/>
        </w:rPr>
        <w:br/>
        <w:t>预算安排合理：按照“以收定支、量入为出”的原则，在充分测算年度非税收入及其他自有资金规模的基础上，科学编制年度非财拨项目预算。预算安排与学校实际财力相匹配，与各部</w:t>
      </w:r>
      <w:r>
        <w:rPr>
          <w:rStyle w:val="ad"/>
          <w:rFonts w:ascii="楷体" w:eastAsia="楷体" w:hAnsi="楷体" w:hint="eastAsia"/>
          <w:spacing w:val="-4"/>
          <w:sz w:val="32"/>
          <w:szCs w:val="32"/>
        </w:rPr>
        <w:lastRenderedPageBreak/>
        <w:t>门实际需求相衔接，既保障了刚性支出需求，又兼顾了重点发展投入。</w:t>
      </w:r>
    </w:p>
    <w:p w14:paraId="53A25876" w14:textId="77777777" w:rsidR="005B2D6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（二）项目过程情况。</w:t>
      </w:r>
    </w:p>
    <w:p w14:paraId="162883C8"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在项目实施过程中，各责任部门严格按照政策要求和学校制度规范，有序推进各项工作。</w:t>
      </w:r>
      <w:r>
        <w:rPr>
          <w:rStyle w:val="ad"/>
          <w:rFonts w:ascii="楷体" w:eastAsia="楷体" w:hAnsi="楷体" w:hint="eastAsia"/>
          <w:spacing w:val="-4"/>
          <w:sz w:val="32"/>
          <w:szCs w:val="32"/>
        </w:rPr>
        <w:br/>
        <w:t>学生资助工作规范有序：学生处严格按照国家及学校资助政策，对家庭经济困难学生进行精准识别、动态管理。资助资金实行“申请-审核-公示-发放”闭环管理，通过指定方式将资金足额、及时发放至学生个人账户。全年未发生因资助政策落实不到位引发的投诉或信访事件，有效维护了校园和谐稳定。</w:t>
      </w:r>
      <w:r>
        <w:rPr>
          <w:rStyle w:val="ad"/>
          <w:rFonts w:ascii="楷体" w:eastAsia="楷体" w:hAnsi="楷体" w:hint="eastAsia"/>
          <w:spacing w:val="-4"/>
          <w:sz w:val="32"/>
          <w:szCs w:val="32"/>
        </w:rPr>
        <w:br/>
        <w:t>还本付息工作按期履约：计划财务处建立还本付息动态监控台账，提前预警、及时归集资金。全年所有到期银行贷款本金及利息均按期足额偿还，未发生任何逾期或违约情况，有力维护了学校良好的商业信誉和金融信用。</w:t>
      </w:r>
      <w:r>
        <w:rPr>
          <w:rStyle w:val="ad"/>
          <w:rFonts w:ascii="楷体" w:eastAsia="楷体" w:hAnsi="楷体" w:hint="eastAsia"/>
          <w:spacing w:val="-4"/>
          <w:sz w:val="32"/>
          <w:szCs w:val="32"/>
        </w:rPr>
        <w:br/>
        <w:t>教学科研保障工作扎实推进：教务处、科学技术处按照年度工作计划，有序推进教学改革、专业建设、实验教学耗材采购、教师培训、科研平台运行维护等各项工作。资金按照项目进度及时拨付，有效保障了日常教学活动的正常开展和科研工作的顺利推进。</w:t>
      </w:r>
      <w:r>
        <w:rPr>
          <w:rStyle w:val="ad"/>
          <w:rFonts w:ascii="楷体" w:eastAsia="楷体" w:hAnsi="楷体" w:hint="eastAsia"/>
          <w:spacing w:val="-4"/>
          <w:sz w:val="32"/>
          <w:szCs w:val="32"/>
        </w:rPr>
        <w:br/>
        <w:t>设备采购工作规范高效：资产管理处严格执行政府采购及校内采购管理办法，对教学科研急需设备进行充分论证、规范招标、严格验收。采购流程合规，设备到货及时，验收合格率高，有效改善了实验教学条件。</w:t>
      </w:r>
      <w:r>
        <w:rPr>
          <w:rStyle w:val="ad"/>
          <w:rFonts w:ascii="楷体" w:eastAsia="楷体" w:hAnsi="楷体" w:hint="eastAsia"/>
          <w:spacing w:val="-4"/>
          <w:sz w:val="32"/>
          <w:szCs w:val="32"/>
        </w:rPr>
        <w:br/>
        <w:t>基建结算工作有序推进：后勤管理处对已竣工基建项目进行分类梳理，积极推进结算审计工作。按照合同约定和审计结果，</w:t>
      </w:r>
      <w:r>
        <w:rPr>
          <w:rStyle w:val="ad"/>
          <w:rFonts w:ascii="楷体" w:eastAsia="楷体" w:hAnsi="楷体" w:hint="eastAsia"/>
          <w:spacing w:val="-4"/>
          <w:sz w:val="32"/>
          <w:szCs w:val="32"/>
        </w:rPr>
        <w:lastRenderedPageBreak/>
        <w:t>及时支付工程尾款，按期退还质保金，保障了施工单位的合法权益，维护了学校与参建各方的良好合作关系。</w:t>
      </w:r>
      <w:r>
        <w:rPr>
          <w:rStyle w:val="ad"/>
          <w:rFonts w:ascii="楷体" w:eastAsia="楷体" w:hAnsi="楷体" w:hint="eastAsia"/>
          <w:spacing w:val="-4"/>
          <w:sz w:val="32"/>
          <w:szCs w:val="32"/>
        </w:rPr>
        <w:br/>
        <w:t>过程监控机制有效运行：计划财务处牵头建立预算执行进度通报机制，按月度向校领导及各部门通报资金执行情况。对执行进度偏慢的部门及时预警、主动对接，确保资金支付与业务进度相匹配。</w:t>
      </w:r>
    </w:p>
    <w:p w14:paraId="2B544C20" w14:textId="77777777" w:rsidR="005B2D6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（三）项目产出情况。</w:t>
      </w:r>
    </w:p>
    <w:p w14:paraId="5BF93181"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截至评价期末，本项目各项产出指标均达到或超过既定目标。</w:t>
      </w:r>
      <w:r>
        <w:rPr>
          <w:rStyle w:val="ad"/>
          <w:rFonts w:ascii="楷体" w:eastAsia="楷体" w:hAnsi="楷体" w:hint="eastAsia"/>
          <w:spacing w:val="-4"/>
          <w:sz w:val="32"/>
          <w:szCs w:val="32"/>
        </w:rPr>
        <w:br/>
        <w:t>学生资助产出：全年发放校内奖学金、勤工助学酬金、特殊困难补助资金发放率100%，发放及时率100%，实现“应助尽助、精准发放”。</w:t>
      </w:r>
      <w:r>
        <w:rPr>
          <w:rStyle w:val="ad"/>
          <w:rFonts w:ascii="楷体" w:eastAsia="楷体" w:hAnsi="楷体" w:hint="eastAsia"/>
          <w:spacing w:val="-4"/>
          <w:sz w:val="32"/>
          <w:szCs w:val="32"/>
        </w:rPr>
        <w:br/>
        <w:t>还本付息产出：全年按期偿还银行贷款，还本付息履约率100%，资金归集及时率100%。</w:t>
      </w:r>
      <w:r>
        <w:rPr>
          <w:rStyle w:val="ad"/>
          <w:rFonts w:ascii="楷体" w:eastAsia="楷体" w:hAnsi="楷体" w:hint="eastAsia"/>
          <w:spacing w:val="-4"/>
          <w:sz w:val="32"/>
          <w:szCs w:val="32"/>
        </w:rPr>
        <w:br/>
        <w:t>教学保障产出：教学项目完成率100%。教学运行平稳有序，各项教学活动得到有效保障。</w:t>
      </w:r>
      <w:r>
        <w:rPr>
          <w:rStyle w:val="ad"/>
          <w:rFonts w:ascii="楷体" w:eastAsia="楷体" w:hAnsi="楷体" w:hint="eastAsia"/>
          <w:spacing w:val="-4"/>
          <w:sz w:val="32"/>
          <w:szCs w:val="32"/>
        </w:rPr>
        <w:br/>
        <w:t>科研保障产出：科研项目启动率100%，科研平台运行保障到位。</w:t>
      </w:r>
      <w:r>
        <w:rPr>
          <w:rStyle w:val="ad"/>
          <w:rFonts w:ascii="楷体" w:eastAsia="楷体" w:hAnsi="楷体" w:hint="eastAsia"/>
          <w:spacing w:val="-4"/>
          <w:sz w:val="32"/>
          <w:szCs w:val="32"/>
        </w:rPr>
        <w:br/>
        <w:t>设备采购产出：设备验收合格率100%。新购设备均已登记入账，投入使用。</w:t>
      </w:r>
      <w:r>
        <w:rPr>
          <w:rStyle w:val="ad"/>
          <w:rFonts w:ascii="楷体" w:eastAsia="楷体" w:hAnsi="楷体" w:hint="eastAsia"/>
          <w:spacing w:val="-4"/>
          <w:sz w:val="32"/>
          <w:szCs w:val="32"/>
        </w:rPr>
        <w:br/>
        <w:t>基建结算产出：质保金退还及时率100%，竣工及时结算率100%。</w:t>
      </w:r>
    </w:p>
    <w:p w14:paraId="01ECFF74" w14:textId="77777777" w:rsidR="005B2D6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（四）项目效益情况。</w:t>
      </w:r>
    </w:p>
    <w:p w14:paraId="7C10B398"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通过非财拨项目的有效实施，学校综合办学实力和师生满意度得到显著提升。</w:t>
      </w:r>
      <w:r>
        <w:rPr>
          <w:rStyle w:val="ad"/>
          <w:rFonts w:ascii="楷体" w:eastAsia="楷体" w:hAnsi="楷体" w:hint="eastAsia"/>
          <w:spacing w:val="-4"/>
          <w:sz w:val="32"/>
          <w:szCs w:val="32"/>
        </w:rPr>
        <w:br/>
        <w:t>综合办学实力逐步提高：教学条件的持续改善为人才培养质量提升奠定了坚实基础；科研投入的不断增加有效激发了科研创</w:t>
      </w:r>
      <w:r>
        <w:rPr>
          <w:rStyle w:val="ad"/>
          <w:rFonts w:ascii="楷体" w:eastAsia="楷体" w:hAnsi="楷体" w:hint="eastAsia"/>
          <w:spacing w:val="-4"/>
          <w:sz w:val="32"/>
          <w:szCs w:val="32"/>
        </w:rPr>
        <w:lastRenderedPageBreak/>
        <w:t>新活力，高水平论文、科研项目立项数稳步增长；基建项目的顺利闭环保障了校园基础设施的完善；设备更新换代促进了教学科研手段的现代化。各项投入共同推动学校综合办学实力和核心竞争力稳步提升。</w:t>
      </w:r>
      <w:r>
        <w:rPr>
          <w:rStyle w:val="ad"/>
          <w:rFonts w:ascii="楷体" w:eastAsia="楷体" w:hAnsi="楷体" w:hint="eastAsia"/>
          <w:spacing w:val="-4"/>
          <w:sz w:val="32"/>
          <w:szCs w:val="32"/>
        </w:rPr>
        <w:br/>
        <w:t>各方权益保障到位：按期还本付息维护了金融机构对学校的信任，按期支付设备款和工程款保障了供应商和施工单位的合法权益，营造了良好的校内外合作环境。</w:t>
      </w:r>
    </w:p>
    <w:p w14:paraId="27C6BFBD" w14:textId="77777777" w:rsidR="005B2D6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师生满意度较好：受资助学生对资助政策落实、资金发放及时性较为满意，全年未收到因非财拨项目管理问题引发的投诉或信访，师生对学校资源配置的公平性、资金使用的规范性给予积极评价。</w:t>
      </w:r>
    </w:p>
    <w:p w14:paraId="0EB68743" w14:textId="77777777" w:rsidR="005B2D6A" w:rsidRDefault="00000000">
      <w:pPr>
        <w:spacing w:line="540" w:lineRule="exact"/>
        <w:ind w:firstLine="640"/>
        <w:rPr>
          <w:rStyle w:val="ad"/>
          <w:rFonts w:ascii="黑体" w:eastAsia="黑体" w:hAnsi="黑体" w:hint="eastAsia"/>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0B6FC167" w14:textId="77777777" w:rsidR="005B2D6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主要经验及做法：</w:t>
      </w:r>
      <w:r>
        <w:rPr>
          <w:rStyle w:val="ad"/>
          <w:rFonts w:ascii="楷体" w:eastAsia="楷体" w:hAnsi="楷体" w:hint="eastAsia"/>
          <w:spacing w:val="-4"/>
          <w:sz w:val="32"/>
          <w:szCs w:val="32"/>
        </w:rPr>
        <w:br/>
        <w:t>建立预算执行通报机制，强化过程管控</w:t>
      </w:r>
      <w:r>
        <w:rPr>
          <w:rStyle w:val="ad"/>
          <w:rFonts w:ascii="楷体" w:eastAsia="楷体" w:hAnsi="楷体" w:hint="eastAsia"/>
          <w:spacing w:val="-4"/>
          <w:sz w:val="32"/>
          <w:szCs w:val="32"/>
        </w:rPr>
        <w:br/>
        <w:t>计划财务处建立并严格落实预算执行进度月度通报制度，定期向学校领导及各部门通报非财拨项目资金执行情况。通过横向对比各板块执行进度、纵向对比各月份执行变化，及时发现执行进度滞后项目。对执行进度偏慢的部门，主动对接、深入沟通，确保资金支付与业务进度同步推进。实践证明，这一机制有效提高了预算执行效率，避免了年底突击花钱现象。</w:t>
      </w:r>
      <w:r>
        <w:rPr>
          <w:rStyle w:val="ad"/>
          <w:rFonts w:ascii="楷体" w:eastAsia="楷体" w:hAnsi="楷体" w:hint="eastAsia"/>
          <w:spacing w:val="-4"/>
          <w:sz w:val="32"/>
          <w:szCs w:val="32"/>
        </w:rPr>
        <w:br/>
        <w:t>实行归口管理与分工负责，压实主体责任</w:t>
      </w:r>
      <w:r>
        <w:rPr>
          <w:rStyle w:val="ad"/>
          <w:rFonts w:ascii="楷体" w:eastAsia="楷体" w:hAnsi="楷体" w:hint="eastAsia"/>
          <w:spacing w:val="-4"/>
          <w:sz w:val="32"/>
          <w:szCs w:val="32"/>
        </w:rPr>
        <w:br/>
        <w:t>按照“谁主管、谁负责、谁使用、谁负责”的原则，明确学生处、教务处、科学技术处、发展改革处、后勤管理处等归口管理部门在项目资金管理中的主体责任。各归口管理部门负责本领域资金需求、项目论证、预算执行推进、绩效自评等工作，</w:t>
      </w:r>
      <w:r>
        <w:rPr>
          <w:rStyle w:val="ad"/>
          <w:rFonts w:ascii="楷体" w:eastAsia="楷体" w:hAnsi="楷体" w:hint="eastAsia"/>
          <w:spacing w:val="-4"/>
          <w:sz w:val="32"/>
          <w:szCs w:val="32"/>
        </w:rPr>
        <w:lastRenderedPageBreak/>
        <w:t>计划财务处负责统筹协调和资金保障。职责清晰、分工明确的工作机制，有效提升了项目管理的精细化水平。</w:t>
      </w:r>
      <w:r>
        <w:rPr>
          <w:rStyle w:val="ad"/>
          <w:rFonts w:ascii="楷体" w:eastAsia="楷体" w:hAnsi="楷体" w:hint="eastAsia"/>
          <w:spacing w:val="-4"/>
          <w:sz w:val="32"/>
          <w:szCs w:val="32"/>
        </w:rPr>
        <w:br/>
        <w:t>坚持刚性支出优先保障，防范财务风险</w:t>
      </w:r>
      <w:r>
        <w:rPr>
          <w:rStyle w:val="ad"/>
          <w:rFonts w:ascii="楷体" w:eastAsia="楷体" w:hAnsi="楷体" w:hint="eastAsia"/>
          <w:spacing w:val="-4"/>
          <w:sz w:val="32"/>
          <w:szCs w:val="32"/>
        </w:rPr>
        <w:br/>
        <w:t>在资金安排和使用过程中，始终坚持“保刚性、保底线”原则，将学生资助资金和还本付息资金作为优先保障对象，在资金调度上给予优先安排。建立还本付息台账，提前预警、提前归集，确保到期债务按期偿还；建立学生资助绿色通道，确保资助资金在评定结果确定后第一时间发放。这一做法有效防范了财务风险，维护了校园稳定和学校信用。</w:t>
      </w:r>
      <w:r>
        <w:rPr>
          <w:rStyle w:val="ad"/>
          <w:rFonts w:ascii="楷体" w:eastAsia="楷体" w:hAnsi="楷体" w:hint="eastAsia"/>
          <w:spacing w:val="-4"/>
          <w:sz w:val="32"/>
          <w:szCs w:val="32"/>
        </w:rPr>
        <w:br/>
        <w:t>存在的问题及原因分析：</w:t>
      </w:r>
      <w:r>
        <w:rPr>
          <w:rStyle w:val="ad"/>
          <w:rFonts w:ascii="楷体" w:eastAsia="楷体" w:hAnsi="楷体" w:hint="eastAsia"/>
          <w:spacing w:val="-4"/>
          <w:sz w:val="32"/>
          <w:szCs w:val="32"/>
        </w:rPr>
        <w:br/>
        <w:t>基建结算项目周期影响较大，影响执行进度。</w:t>
      </w:r>
      <w:r>
        <w:rPr>
          <w:rStyle w:val="ad"/>
          <w:rFonts w:ascii="楷体" w:eastAsia="楷体" w:hAnsi="楷体" w:hint="eastAsia"/>
          <w:spacing w:val="-4"/>
          <w:sz w:val="32"/>
          <w:szCs w:val="32"/>
        </w:rPr>
        <w:br/>
        <w:t>原因：部分已竣工基建项目结算审计周期较长，影响工程尾款支付进度。</w:t>
      </w:r>
    </w:p>
    <w:p w14:paraId="595B3866" w14:textId="77777777" w:rsidR="005B2D6A" w:rsidRDefault="00000000">
      <w:pPr>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1B8F92CC" w14:textId="77777777" w:rsidR="005B2D6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6DFF6B9B" w14:textId="77777777" w:rsidR="005B2D6A" w:rsidRDefault="00000000">
      <w:pPr>
        <w:spacing w:line="540" w:lineRule="exact"/>
        <w:ind w:firstLine="567"/>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7AD00ECB" w14:textId="77777777" w:rsidR="005B2D6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1AD47AC2" w14:textId="77777777" w:rsidR="005B2D6A" w:rsidRDefault="005B2D6A">
      <w:pPr>
        <w:spacing w:line="540" w:lineRule="exact"/>
        <w:ind w:firstLine="567"/>
        <w:rPr>
          <w:rStyle w:val="ad"/>
          <w:rFonts w:ascii="仿宋" w:eastAsia="仿宋" w:hAnsi="仿宋" w:hint="eastAsia"/>
          <w:b w:val="0"/>
          <w:spacing w:val="-4"/>
          <w:sz w:val="32"/>
          <w:szCs w:val="32"/>
        </w:rPr>
      </w:pPr>
    </w:p>
    <w:p w14:paraId="64762570" w14:textId="77777777" w:rsidR="005B2D6A" w:rsidRDefault="005B2D6A">
      <w:pPr>
        <w:spacing w:line="540" w:lineRule="exact"/>
        <w:ind w:firstLine="567"/>
        <w:rPr>
          <w:rStyle w:val="ad"/>
          <w:rFonts w:ascii="仿宋" w:eastAsia="仿宋" w:hAnsi="仿宋" w:hint="eastAsia"/>
          <w:b w:val="0"/>
          <w:spacing w:val="-4"/>
          <w:sz w:val="32"/>
          <w:szCs w:val="32"/>
        </w:rPr>
      </w:pPr>
    </w:p>
    <w:p w14:paraId="23872609" w14:textId="77777777" w:rsidR="005B2D6A" w:rsidRDefault="005B2D6A">
      <w:pPr>
        <w:spacing w:line="540" w:lineRule="exact"/>
        <w:ind w:firstLine="567"/>
        <w:rPr>
          <w:rStyle w:val="ad"/>
          <w:rFonts w:ascii="仿宋" w:eastAsia="仿宋" w:hAnsi="仿宋" w:hint="eastAsia"/>
          <w:b w:val="0"/>
          <w:spacing w:val="-4"/>
          <w:sz w:val="32"/>
          <w:szCs w:val="32"/>
        </w:rPr>
      </w:pPr>
    </w:p>
    <w:p w14:paraId="12CAF3C6" w14:textId="77777777" w:rsidR="005B2D6A" w:rsidRDefault="005B2D6A">
      <w:pPr>
        <w:spacing w:line="540" w:lineRule="exact"/>
        <w:ind w:firstLine="567"/>
        <w:rPr>
          <w:rStyle w:val="ad"/>
          <w:rFonts w:ascii="仿宋" w:eastAsia="仿宋" w:hAnsi="仿宋" w:hint="eastAsia"/>
          <w:b w:val="0"/>
          <w:spacing w:val="-4"/>
          <w:sz w:val="32"/>
          <w:szCs w:val="32"/>
        </w:rPr>
      </w:pPr>
    </w:p>
    <w:p w14:paraId="0EF6B7DE" w14:textId="77777777" w:rsidR="005B2D6A" w:rsidRDefault="005B2D6A">
      <w:pPr>
        <w:spacing w:line="540" w:lineRule="exact"/>
        <w:ind w:firstLine="567"/>
        <w:rPr>
          <w:rStyle w:val="ad"/>
          <w:rFonts w:ascii="仿宋" w:eastAsia="仿宋" w:hAnsi="仿宋" w:hint="eastAsia"/>
          <w:b w:val="0"/>
          <w:spacing w:val="-4"/>
          <w:sz w:val="32"/>
          <w:szCs w:val="32"/>
        </w:rPr>
      </w:pPr>
    </w:p>
    <w:p w14:paraId="29F87752" w14:textId="77777777" w:rsidR="005B2D6A" w:rsidRDefault="005B2D6A">
      <w:pPr>
        <w:spacing w:line="540" w:lineRule="exact"/>
        <w:ind w:firstLine="567"/>
        <w:rPr>
          <w:rStyle w:val="ad"/>
          <w:rFonts w:ascii="仿宋" w:eastAsia="仿宋" w:hAnsi="仿宋" w:hint="eastAsia"/>
          <w:b w:val="0"/>
          <w:spacing w:val="-4"/>
          <w:sz w:val="32"/>
          <w:szCs w:val="32"/>
        </w:rPr>
      </w:pPr>
    </w:p>
    <w:p w14:paraId="3C065D0E" w14:textId="77777777" w:rsidR="005B2D6A" w:rsidRDefault="005B2D6A">
      <w:pPr>
        <w:spacing w:line="540" w:lineRule="exact"/>
        <w:ind w:firstLine="567"/>
        <w:rPr>
          <w:rStyle w:val="ad"/>
          <w:rFonts w:ascii="仿宋" w:eastAsia="仿宋" w:hAnsi="仿宋" w:hint="eastAsia"/>
          <w:b w:val="0"/>
          <w:spacing w:val="-4"/>
          <w:sz w:val="32"/>
          <w:szCs w:val="32"/>
        </w:rPr>
      </w:pPr>
    </w:p>
    <w:p w14:paraId="5B2CBAE0" w14:textId="77777777" w:rsidR="005B2D6A" w:rsidRDefault="005B2D6A">
      <w:pPr>
        <w:spacing w:line="540" w:lineRule="exact"/>
        <w:ind w:firstLine="567"/>
        <w:rPr>
          <w:rStyle w:val="ad"/>
          <w:rFonts w:ascii="仿宋" w:eastAsia="仿宋" w:hAnsi="仿宋" w:hint="eastAsia"/>
          <w:b w:val="0"/>
          <w:spacing w:val="-4"/>
          <w:sz w:val="32"/>
          <w:szCs w:val="32"/>
        </w:rPr>
      </w:pPr>
    </w:p>
    <w:p w14:paraId="5E0A0694" w14:textId="77777777" w:rsidR="005B2D6A" w:rsidRDefault="005B2D6A">
      <w:pPr>
        <w:spacing w:line="540" w:lineRule="exact"/>
        <w:ind w:firstLine="567"/>
        <w:rPr>
          <w:rStyle w:val="ad"/>
          <w:rFonts w:ascii="仿宋" w:eastAsia="仿宋" w:hAnsi="仿宋" w:hint="eastAsia"/>
          <w:b w:val="0"/>
          <w:spacing w:val="-4"/>
          <w:sz w:val="32"/>
          <w:szCs w:val="32"/>
        </w:rPr>
      </w:pPr>
    </w:p>
    <w:p w14:paraId="41AB487D" w14:textId="77777777" w:rsidR="005B2D6A" w:rsidRDefault="005B2D6A">
      <w:pPr>
        <w:spacing w:line="540" w:lineRule="exact"/>
        <w:ind w:firstLine="567"/>
        <w:rPr>
          <w:rStyle w:val="ad"/>
          <w:rFonts w:ascii="仿宋" w:eastAsia="仿宋" w:hAnsi="仿宋" w:hint="eastAsia"/>
          <w:b w:val="0"/>
          <w:spacing w:val="-4"/>
          <w:sz w:val="32"/>
          <w:szCs w:val="32"/>
        </w:rPr>
      </w:pPr>
    </w:p>
    <w:p w14:paraId="6308AC63" w14:textId="77777777" w:rsidR="005B2D6A" w:rsidRDefault="005B2D6A">
      <w:pPr>
        <w:spacing w:line="540" w:lineRule="exact"/>
        <w:ind w:firstLine="567"/>
        <w:rPr>
          <w:rStyle w:val="ad"/>
          <w:rFonts w:ascii="仿宋" w:eastAsia="仿宋" w:hAnsi="仿宋" w:hint="eastAsia"/>
          <w:b w:val="0"/>
          <w:spacing w:val="-4"/>
          <w:sz w:val="32"/>
          <w:szCs w:val="32"/>
        </w:rPr>
      </w:pPr>
    </w:p>
    <w:p w14:paraId="5ECA4F05" w14:textId="77777777" w:rsidR="005B2D6A" w:rsidRDefault="005B2D6A">
      <w:pPr>
        <w:spacing w:line="540" w:lineRule="exact"/>
        <w:ind w:firstLine="567"/>
        <w:rPr>
          <w:rStyle w:val="ad"/>
          <w:rFonts w:ascii="仿宋" w:eastAsia="仿宋" w:hAnsi="仿宋" w:hint="eastAsia"/>
          <w:b w:val="0"/>
          <w:spacing w:val="-4"/>
          <w:sz w:val="32"/>
          <w:szCs w:val="32"/>
        </w:rPr>
      </w:pPr>
    </w:p>
    <w:sectPr w:rsidR="005B2D6A">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2587" w14:textId="77777777" w:rsidR="002E455A" w:rsidRDefault="002E455A">
      <w:r>
        <w:separator/>
      </w:r>
    </w:p>
  </w:endnote>
  <w:endnote w:type="continuationSeparator" w:id="0">
    <w:p w14:paraId="65C659C0" w14:textId="77777777" w:rsidR="002E455A" w:rsidRDefault="002E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14501D66" w14:textId="77777777" w:rsidR="005B2D6A" w:rsidRDefault="00000000">
        <w:pPr>
          <w:pStyle w:val="a5"/>
          <w:jc w:val="center"/>
        </w:pPr>
        <w:r>
          <w:fldChar w:fldCharType="begin"/>
        </w:r>
        <w:r>
          <w:instrText>PAGE   \* MERGEFORMAT</w:instrText>
        </w:r>
        <w:r>
          <w:fldChar w:fldCharType="separate"/>
        </w:r>
        <w:r>
          <w:rPr>
            <w:lang w:val="zh-CN"/>
          </w:rPr>
          <w:t>1</w:t>
        </w:r>
        <w:r>
          <w:fldChar w:fldCharType="end"/>
        </w:r>
      </w:p>
    </w:sdtContent>
  </w:sdt>
  <w:p w14:paraId="60848741" w14:textId="77777777" w:rsidR="005B2D6A" w:rsidRDefault="005B2D6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97050" w14:textId="77777777" w:rsidR="002E455A" w:rsidRDefault="002E455A">
      <w:r>
        <w:separator/>
      </w:r>
    </w:p>
  </w:footnote>
  <w:footnote w:type="continuationSeparator" w:id="0">
    <w:p w14:paraId="143C93C4" w14:textId="77777777" w:rsidR="002E455A" w:rsidRDefault="002E45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2E455A"/>
    <w:rsid w:val="00311DBE"/>
    <w:rsid w:val="00345DD7"/>
    <w:rsid w:val="00351EFF"/>
    <w:rsid w:val="003B0577"/>
    <w:rsid w:val="003B1D3F"/>
    <w:rsid w:val="003E7E58"/>
    <w:rsid w:val="003F5180"/>
    <w:rsid w:val="00414C3A"/>
    <w:rsid w:val="004366A8"/>
    <w:rsid w:val="004A05EE"/>
    <w:rsid w:val="004C38BC"/>
    <w:rsid w:val="004F1F3C"/>
    <w:rsid w:val="0050134C"/>
    <w:rsid w:val="00502BA7"/>
    <w:rsid w:val="005162F1"/>
    <w:rsid w:val="00535153"/>
    <w:rsid w:val="00554F82"/>
    <w:rsid w:val="0056390D"/>
    <w:rsid w:val="005719B0"/>
    <w:rsid w:val="005A4F2E"/>
    <w:rsid w:val="005A5018"/>
    <w:rsid w:val="005B2D6A"/>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AC92"/>
  <w15:docId w15:val="{2C1E2DD9-21CF-4DF9-88D4-B78CCAF9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1368</Words>
  <Characters>7798</Characters>
  <Application>Microsoft Office Word</Application>
  <DocSecurity>0</DocSecurity>
  <Lines>64</Lines>
  <Paragraphs>18</Paragraphs>
  <ScaleCrop>false</ScaleCrop>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梦璠 贾</cp:lastModifiedBy>
  <cp:revision>65</cp:revision>
  <cp:lastPrinted>2018-12-31T10:56:00Z</cp:lastPrinted>
  <dcterms:created xsi:type="dcterms:W3CDTF">2018-08-15T02:06:00Z</dcterms:created>
  <dcterms:modified xsi:type="dcterms:W3CDTF">2026-09-02T03:54:00Z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