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center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</w:p>
    <w:p>
      <w:pPr>
        <w:spacing w:line="560" w:lineRule="exact"/>
        <w:ind w:left="0" w:leftChars="0" w:firstLine="0" w:firstLineChars="0"/>
        <w:jc w:val="center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自治区</w:t>
      </w:r>
      <w:r>
        <w:rPr>
          <w:rFonts w:hint="eastAsia" w:ascii="Times New Roman" w:hAnsi="Times New Roman" w:eastAsia="方正小标宋_GBK"/>
          <w:sz w:val="44"/>
          <w:szCs w:val="44"/>
        </w:rPr>
        <w:t>教育科学规划课题管理办法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Times New Roman" w:hAnsi="Times New Roman" w:eastAsia="楷体"/>
          <w:sz w:val="32"/>
          <w:szCs w:val="32"/>
          <w:lang w:eastAsia="zh-CN"/>
        </w:rPr>
      </w:pPr>
      <w:r>
        <w:rPr>
          <w:rFonts w:hint="eastAsia" w:ascii="Times New Roman" w:hAnsi="Times New Roman" w:eastAsia="楷体"/>
          <w:sz w:val="32"/>
          <w:szCs w:val="32"/>
          <w:lang w:eastAsia="zh-CN"/>
        </w:rPr>
        <w:t>（征求意见稿</w:t>
      </w:r>
      <w:bookmarkStart w:id="0" w:name="_GoBack"/>
      <w:bookmarkEnd w:id="0"/>
      <w:r>
        <w:rPr>
          <w:rFonts w:hint="eastAsia" w:ascii="Times New Roman" w:hAnsi="Times New Roman" w:eastAsia="楷体"/>
          <w:sz w:val="32"/>
          <w:szCs w:val="32"/>
          <w:lang w:eastAsia="zh-CN"/>
        </w:rPr>
        <w:t>）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第一章  总则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为规范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教育科学规划课题管理，提高教育科研效能，促进全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教育科学研究繁荣发展，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</w:t>
      </w:r>
      <w:r>
        <w:rPr>
          <w:rFonts w:hint="eastAsia" w:ascii="仿宋" w:hAnsi="仿宋" w:eastAsia="仿宋" w:cs="仿宋"/>
          <w:sz w:val="32"/>
          <w:szCs w:val="32"/>
        </w:rPr>
        <w:t>制定本办法。</w:t>
      </w:r>
    </w:p>
    <w:p>
      <w:pPr>
        <w:pStyle w:val="2"/>
        <w:rPr>
          <w:rFonts w:hint="eastAsia" w:ascii="Times New Roman" w:hAnsi="Times New Roman" w:eastAsia="楷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楷体"/>
          <w:sz w:val="32"/>
          <w:szCs w:val="32"/>
        </w:rPr>
        <w:t>第二条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自治区教育科学规划课题，要以习近平新时代中国特色社会主义思想为指导，深入学习贯彻习近平总书记关于教育的重要论述，增强“四个意识”，坚定“四个自信”，做到“两个维护”，立足“两个大局”，胸怀“国之大者”，弘扬新时代教育家精神，激发教育科研创新活力，注重科研成果转化应用，不断提升服务教育改革发展的能力水平。切实发挥好教育科研对教育改革发展的支撑、驱动和引领作用，为全面推动高质量教育体系建设，繁荣发展教育科学事业，加快推进教育现代化、建设教育强区、办好人民满意的教育作出贡献。</w:t>
      </w:r>
    </w:p>
    <w:p>
      <w:pPr>
        <w:pStyle w:val="2"/>
        <w:rPr>
          <w:color w:val="auto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u w:val="none"/>
        </w:rPr>
        <w:t>第三条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教育科学规划课题管理工作坚持正确导向，突出科研质量，注重科学管理，弘扬优良学风。搭建教育科学研究平台，引领全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教育科学研究发展方向，凝聚科研力量，培养科研人才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，服务自治区教育高质量发展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u w:val="none"/>
        </w:rPr>
        <w:t>第四条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组织实施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教育科学规划课题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研究工作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，应坚持公开、公平、公正的原则，面向全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区（含兵团）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，自主申请、平等竞争、择优支持，同时兼顾不同地区教育科研发展实际，科学统筹、综合实施。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u w:val="none"/>
        </w:rPr>
        <w:t>第二章  组织管理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u w:val="none"/>
        </w:rPr>
        <w:t>第五条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教育科学规划领导小组领导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全区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教育科学规划管理工作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指导制定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教育科学研究中长期发展规划、教育发展战略和教育科学研究年度计划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指导制定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教育科学规划课题管理办法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决定其他重大事项。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u w:val="none"/>
        </w:rPr>
        <w:t>第六条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教育科学规划领导小组办公室（以下简称“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区教科规划办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”）是领导小组的日常办事机构，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设在自治区教育科学研究院，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具体负责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教育规划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课题的评审、检查与鉴定工作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编制课题经费预算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，评选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上报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教育科学研究优秀成果，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开展课题成果的宣传、交流和推广活动。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u w:val="none"/>
        </w:rPr>
        <w:t>第七条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区教科规划办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建立学科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专家库，成立评审专家组，其成员由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区教科规划办</w:t>
      </w:r>
      <w:r>
        <w:rPr>
          <w:rFonts w:hint="eastAsia" w:ascii="仿宋" w:hAnsi="仿宋" w:eastAsia="仿宋" w:cs="仿宋"/>
          <w:sz w:val="32"/>
          <w:szCs w:val="32"/>
        </w:rPr>
        <w:t>聘任，聘期一般为五年，每年可根据需要作部分调整。其主要职责是为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全区</w:t>
      </w:r>
      <w:r>
        <w:rPr>
          <w:rFonts w:hint="eastAsia" w:ascii="仿宋" w:hAnsi="仿宋" w:eastAsia="仿宋" w:cs="仿宋"/>
          <w:sz w:val="32"/>
          <w:szCs w:val="32"/>
        </w:rPr>
        <w:t>教育科学发展规划及重点研究项目提供学术咨询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，参与自治区</w:t>
      </w:r>
      <w:r>
        <w:rPr>
          <w:rFonts w:hint="eastAsia" w:ascii="仿宋" w:hAnsi="仿宋" w:eastAsia="仿宋" w:cs="仿宋"/>
          <w:sz w:val="32"/>
          <w:szCs w:val="32"/>
        </w:rPr>
        <w:t>级教育科学规划课题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的立项评审、结题鉴定与审核工作，及</w:t>
      </w:r>
      <w:r>
        <w:rPr>
          <w:rFonts w:hint="eastAsia" w:ascii="仿宋" w:hAnsi="仿宋" w:eastAsia="仿宋" w:cs="仿宋"/>
          <w:sz w:val="32"/>
          <w:szCs w:val="32"/>
        </w:rPr>
        <w:t>其他与教育科学研究有关的工作。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第三章  课题管理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教育科学规划课题设立重点课题、一般课题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自筹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课题。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年度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课题指南的制定，由区教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科规划办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在向有关部门广泛征集研究选题的基础上拟定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并发布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治区</w:t>
      </w:r>
      <w:r>
        <w:rPr>
          <w:rFonts w:hint="eastAsia" w:ascii="仿宋" w:hAnsi="仿宋" w:eastAsia="仿宋" w:cs="仿宋"/>
          <w:sz w:val="32"/>
          <w:szCs w:val="32"/>
        </w:rPr>
        <w:t>教育科学规划课题类型根据经济社会发展变化和教育科学发展需要，进行适时调整和不断完善，不同类型课题的资助领域和范围各有侧重。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九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规划课题研究周期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一般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年。如遇特殊情况，可申请延期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次，延期时间不得超过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年；如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有能力提前完成研究并获取得成果，</w:t>
      </w:r>
      <w:r>
        <w:rPr>
          <w:rFonts w:hint="eastAsia" w:ascii="仿宋" w:hAnsi="仿宋" w:eastAsia="仿宋" w:cs="仿宋"/>
          <w:sz w:val="32"/>
          <w:szCs w:val="32"/>
        </w:rPr>
        <w:t>可申请提前一年结题。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教育科学规划课题实行统筹规划、分级管理。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区教科规划办联合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地（州、市）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教育局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各高校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各区属中等职业院校、区属中小学校</w:t>
      </w:r>
      <w:r>
        <w:rPr>
          <w:rFonts w:hint="eastAsia" w:ascii="仿宋" w:hAnsi="仿宋" w:eastAsia="仿宋" w:cs="仿宋"/>
          <w:sz w:val="32"/>
          <w:szCs w:val="32"/>
        </w:rPr>
        <w:t>（以下简称“二级管理单位”）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形成课题管理体系</w:t>
      </w:r>
      <w:r>
        <w:rPr>
          <w:rFonts w:hint="eastAsia" w:ascii="仿宋" w:hAnsi="仿宋" w:eastAsia="仿宋" w:cs="仿宋"/>
          <w:sz w:val="32"/>
          <w:szCs w:val="32"/>
        </w:rPr>
        <w:t>，共同履行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教育科学规划课题的管理职责。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第十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区教科规划办</w:t>
      </w:r>
      <w:r>
        <w:rPr>
          <w:rFonts w:hint="eastAsia" w:ascii="仿宋" w:hAnsi="仿宋" w:eastAsia="仿宋" w:cs="仿宋"/>
          <w:sz w:val="32"/>
          <w:szCs w:val="32"/>
        </w:rPr>
        <w:t>直接管理各类重点课题。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区教科规划办</w:t>
      </w:r>
      <w:r>
        <w:rPr>
          <w:rFonts w:hint="eastAsia" w:ascii="仿宋" w:hAnsi="仿宋" w:eastAsia="仿宋" w:cs="仿宋"/>
          <w:sz w:val="32"/>
          <w:szCs w:val="32"/>
        </w:rPr>
        <w:t>委托“二级管理单位”实施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一般课题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和自筹课题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监督和管理。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区教科规划办对一般课题和自筹课题进行不定期抽查。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第十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教育科学规划课题实行课题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主持人</w:t>
      </w:r>
      <w:r>
        <w:rPr>
          <w:rFonts w:hint="eastAsia" w:ascii="仿宋" w:hAnsi="仿宋" w:eastAsia="仿宋" w:cs="仿宋"/>
          <w:sz w:val="32"/>
          <w:szCs w:val="32"/>
        </w:rPr>
        <w:t>负责制。课题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 w:cs="仿宋"/>
          <w:sz w:val="32"/>
          <w:szCs w:val="32"/>
        </w:rPr>
        <w:t>单位拥有课题成果所有权并承担相应管理职责。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第十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教育科学规划课题实行信息化管理，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适时建设自治区</w:t>
      </w:r>
      <w:r>
        <w:rPr>
          <w:rFonts w:hint="eastAsia" w:ascii="仿宋" w:hAnsi="仿宋" w:eastAsia="仿宋" w:cs="仿宋"/>
          <w:sz w:val="32"/>
          <w:szCs w:val="32"/>
        </w:rPr>
        <w:t>教育科学规划项目管理系统。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第四章  申报与评审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第十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教育科学规划课题申报每年受理一次。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第十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教育科学规划课题申请人应当符合以下条件：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享有中华人民共和国公民权，遵守中华人民共和国宪法，拥护社会主义制度和中国共产党的领导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；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申请人必须真正承担和负责组织、指导项目的实施；不能从事实质性研究工作的，不得申请；拟出国半年以上者，不得申请；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申请重点课题应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具有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副高级及以上专业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技术职称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或博士学位（或相当于副高级及以上专业技术职称）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申请一般课题和自筹课题应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具有中级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及以上专业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技术职称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或硕士学位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，否则应有两名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副高级及以上职称人员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的书面推荐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申请人当年只能申请一个课题，且不得作为课题组成员参加其它类别的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教育科学规划课题申请；课题组成员最多只能同时参加两个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级教育科学规划课题研究；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5.鼓励科研能力强、有援疆任务的教育部直属高校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积极申报各类课题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课题申请要求双主持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，其中1名为疆内主持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且至少1/2课题组成员为疆内成员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尚未结题的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规划课题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主持</w:t>
      </w:r>
      <w:r>
        <w:rPr>
          <w:rFonts w:hint="eastAsia" w:ascii="仿宋" w:hAnsi="仿宋" w:eastAsia="仿宋" w:cs="仿宋"/>
          <w:sz w:val="32"/>
          <w:szCs w:val="32"/>
        </w:rPr>
        <w:t>人不得申报新课题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第十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“二级管理单位”应在规定时间内对申报人资格和填报内容进行审核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汇总提交。“二级管理单位”对申报人的政治表现、业务能力、科研条件等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出具</w:t>
      </w:r>
      <w:r>
        <w:rPr>
          <w:rFonts w:hint="eastAsia" w:ascii="仿宋" w:hAnsi="仿宋" w:eastAsia="仿宋" w:cs="仿宋"/>
          <w:sz w:val="32"/>
          <w:szCs w:val="32"/>
        </w:rPr>
        <w:t>明确意见。</w:t>
      </w:r>
    </w:p>
    <w:p>
      <w:pPr>
        <w:ind w:left="0" w:leftChars="0" w:firstLine="640" w:firstLineChars="200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楷体"/>
          <w:sz w:val="32"/>
          <w:szCs w:val="32"/>
        </w:rPr>
        <w:t>第十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教育科学规划课题实行专家组评审制。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评审专家一般应具有正高级专业技术职称，纪律观念强、办事公道正派、工作严谨细致，具有较高的学术水平。</w:t>
      </w:r>
      <w:r>
        <w:rPr>
          <w:rFonts w:hint="eastAsia" w:ascii="仿宋" w:hAnsi="仿宋" w:eastAsia="仿宋" w:cs="仿宋"/>
          <w:sz w:val="32"/>
          <w:szCs w:val="32"/>
        </w:rPr>
        <w:t>每次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评审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按学科分类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专家库中随机抽取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若干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名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专家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，也可根据实际需要特聘专家参与评审。凡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参与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课题的专家库成员不参加当次课题评审工作。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区教科规划办工作人员不参加评审工作。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楷体"/>
          <w:sz w:val="32"/>
          <w:szCs w:val="32"/>
        </w:rPr>
        <w:t>第十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因教育事业发展急需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部分重要研究课题或现实意义突出的课题，以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设置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专项课题的方式，单独立项，委托研究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第五章 过程管理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第十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九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“二级管理单位”应加强对在研课题的过程管理，服务、引导和督促课题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主持</w:t>
      </w:r>
      <w:r>
        <w:rPr>
          <w:rFonts w:hint="eastAsia" w:ascii="仿宋" w:hAnsi="仿宋" w:eastAsia="仿宋" w:cs="仿宋"/>
          <w:sz w:val="32"/>
          <w:szCs w:val="32"/>
        </w:rPr>
        <w:t>人按计划有序推进研究工作。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第二十条</w:t>
      </w:r>
      <w:r>
        <w:rPr>
          <w:rFonts w:hint="eastAsia" w:ascii="仿宋" w:hAnsi="仿宋" w:eastAsia="仿宋" w:cs="仿宋"/>
          <w:sz w:val="32"/>
          <w:szCs w:val="32"/>
        </w:rPr>
        <w:t xml:space="preserve"> 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 w:cs="仿宋"/>
          <w:sz w:val="32"/>
          <w:szCs w:val="32"/>
        </w:rPr>
        <w:t>单位应对课题的实施和完成承担信誉保证，切实加强领导、管理和监督，在时间、人力、物力和财力等方面给予支持和保障。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第二十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课题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主持</w:t>
      </w:r>
      <w:r>
        <w:rPr>
          <w:rFonts w:hint="eastAsia" w:ascii="仿宋" w:hAnsi="仿宋" w:eastAsia="仿宋" w:cs="仿宋"/>
          <w:sz w:val="32"/>
          <w:szCs w:val="32"/>
        </w:rPr>
        <w:t>人接到立项批准通知后，应尽快确定具体的课题实施方案，在三个月内组织开题。课题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主持</w:t>
      </w:r>
      <w:r>
        <w:rPr>
          <w:rFonts w:hint="eastAsia" w:ascii="仿宋" w:hAnsi="仿宋" w:eastAsia="仿宋" w:cs="仿宋"/>
          <w:sz w:val="32"/>
          <w:szCs w:val="32"/>
        </w:rPr>
        <w:t>人必须按照课题申请书的承诺组织开展研究工作。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第二十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课题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主持</w:t>
      </w:r>
      <w:r>
        <w:rPr>
          <w:rFonts w:hint="eastAsia" w:ascii="仿宋" w:hAnsi="仿宋" w:eastAsia="仿宋" w:cs="仿宋"/>
          <w:sz w:val="32"/>
          <w:szCs w:val="32"/>
        </w:rPr>
        <w:t>人不得随意变更课题设计和研究计划，因故确需对研究计划作重要调整、变更或终止研究的，应及时填报《变更申请表》，按程序逐级审批后方可变更。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第二十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重点</w:t>
      </w:r>
      <w:r>
        <w:rPr>
          <w:rFonts w:hint="eastAsia" w:ascii="仿宋" w:hAnsi="仿宋" w:eastAsia="仿宋" w:cs="仿宋"/>
          <w:sz w:val="32"/>
          <w:szCs w:val="32"/>
        </w:rPr>
        <w:t>课题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主持</w:t>
      </w:r>
      <w:r>
        <w:rPr>
          <w:rFonts w:hint="eastAsia" w:ascii="仿宋" w:hAnsi="仿宋" w:eastAsia="仿宋" w:cs="仿宋"/>
          <w:sz w:val="32"/>
          <w:szCs w:val="32"/>
        </w:rPr>
        <w:t>人在开题一年内须报送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篇决策咨询报告，反映最新研究成果，提出决策参考建议。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第二十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区教科规划办</w:t>
      </w:r>
      <w:r>
        <w:rPr>
          <w:rFonts w:hint="eastAsia" w:ascii="仿宋" w:hAnsi="仿宋" w:eastAsia="仿宋" w:cs="仿宋"/>
          <w:sz w:val="32"/>
          <w:szCs w:val="32"/>
        </w:rPr>
        <w:t>将视课题完成周期，适时对课题进行中期抽查。同时加强对基层科研人员的培训工作，系统制定教育科研培训计划。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第六章 经费管理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第二十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教育科学规划课题资金来源于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财政拨款及有关方面支持，用于资助教育科学研究，促进教育科学持续发展、人才培养和队伍建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设的专项资金。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szCs w:val="32"/>
        </w:rPr>
        <w:t>第二十</w:t>
      </w:r>
      <w:r>
        <w:rPr>
          <w:rFonts w:hint="eastAsia" w:ascii="Times New Roman" w:hAnsi="Times New Roman" w:eastAsia="楷体"/>
          <w:color w:val="auto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楷体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参考自治区哲学社会科学基金项目资助经费标准，</w:t>
      </w:r>
      <w:r>
        <w:rPr>
          <w:rFonts w:hint="eastAsia" w:ascii="仿宋" w:hAnsi="仿宋" w:eastAsia="仿宋" w:cs="仿宋"/>
          <w:sz w:val="32"/>
          <w:szCs w:val="32"/>
        </w:rPr>
        <w:t>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资助经费标准为重点课题6-8万元/项、一般课题2-4万元/项。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立项课题完成开题后拨付经费，鼓励课题责任单位根据课题研究需要配套研究经费。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项目经费一次核定，一次拨付，包干使用，超支不补。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自筹课题经费由课题主持人所在单位自行筹措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ind w:left="0" w:leftChars="0" w:firstLine="640" w:firstLineChars="200"/>
        <w:rPr>
          <w:rFonts w:hint="default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/>
          <w:sz w:val="32"/>
          <w:szCs w:val="32"/>
        </w:rPr>
        <w:t>第二十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课题经费管理和使用应符合科研经费管理和财政资金管理有关规定，接受管理和监督。课题责任单位是课题资金管理和使用的责任主体，负责课题资金的管理和监督。课题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主持</w:t>
      </w:r>
      <w:r>
        <w:rPr>
          <w:rFonts w:hint="eastAsia" w:ascii="仿宋" w:hAnsi="仿宋" w:eastAsia="仿宋" w:cs="仿宋"/>
          <w:sz w:val="32"/>
          <w:szCs w:val="32"/>
        </w:rPr>
        <w:t>人是课题资金使用的直接责任人，对资金使用的合规性、合理性、真实性和相关性承担相应责任。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第七章 鉴定与结题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"/>
          <w:sz w:val="32"/>
          <w:szCs w:val="32"/>
        </w:rPr>
        <w:t>第二十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课题最终研究成果原则上应进行鉴定，鉴定方式为通信鉴定或会议鉴定。重点课题采取会议鉴定方式，一般课题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自筹课题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原则上采取通信鉴定方式。鉴定等级分为“优秀”“良好”“合格”“不合格”四个等次。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鉴定结果报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区教科规划办。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u w:val="none"/>
        </w:rPr>
        <w:t>第二十</w:t>
      </w:r>
      <w:r>
        <w:rPr>
          <w:rFonts w:hint="eastAsia" w:ascii="Times New Roman" w:hAnsi="Times New Roman" w:eastAsia="楷体"/>
          <w:color w:val="auto"/>
          <w:sz w:val="32"/>
          <w:szCs w:val="32"/>
          <w:u w:val="none"/>
          <w:lang w:eastAsia="zh-CN"/>
        </w:rPr>
        <w:t>九</w:t>
      </w:r>
      <w:r>
        <w:rPr>
          <w:rFonts w:hint="eastAsia" w:ascii="Times New Roman" w:hAnsi="Times New Roman" w:eastAsia="楷体"/>
          <w:color w:val="auto"/>
          <w:sz w:val="32"/>
          <w:szCs w:val="32"/>
          <w:u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重点课题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、一般课题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结题评审由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区教科规划办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负责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组织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自筹课题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区教科规划办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委托二级管理单位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结题评审时，鉴定专家由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区教科规划办</w:t>
      </w:r>
      <w:r>
        <w:rPr>
          <w:rFonts w:hint="eastAsia" w:ascii="仿宋" w:hAnsi="仿宋" w:eastAsia="仿宋" w:cs="仿宋"/>
          <w:sz w:val="32"/>
          <w:szCs w:val="32"/>
        </w:rPr>
        <w:t>或委托管理单位聘请组成结题评审专家组。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</w:t>
      </w:r>
      <w:r>
        <w:rPr>
          <w:rFonts w:hint="eastAsia" w:ascii="Times New Roman" w:hAnsi="Times New Roman" w:eastAsia="楷体"/>
          <w:color w:val="auto"/>
          <w:sz w:val="32"/>
          <w:szCs w:val="32"/>
        </w:rPr>
        <w:t>三十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鉴定等级为合格及以上者，由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区教科规划办</w:t>
      </w:r>
      <w:r>
        <w:rPr>
          <w:rFonts w:hint="eastAsia" w:ascii="仿宋" w:hAnsi="仿宋" w:eastAsia="仿宋" w:cs="仿宋"/>
          <w:sz w:val="32"/>
          <w:szCs w:val="32"/>
        </w:rPr>
        <w:t>统一审核后，颁发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结题证书。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楷体"/>
          <w:color w:val="auto"/>
          <w:sz w:val="32"/>
          <w:szCs w:val="32"/>
        </w:rPr>
        <w:t>第三十</w:t>
      </w:r>
      <w:r>
        <w:rPr>
          <w:rFonts w:hint="eastAsia" w:ascii="Times New Roman" w:hAnsi="Times New Roman" w:eastAsia="楷体"/>
          <w:color w:val="auto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楷体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研究成果符合下列条件之一的可以申请免于鉴定。                                     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获得省部级评奖二等奖及以上奖励的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提出的理论观点、政策建议等被省部级及以上党政领导机关部分或完整采纳吸收的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成果涉及党和国家机密不宜公开，而质量已得到有关部门认可的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属于上述情况者，仍须填写《结项审批书》，注明免予鉴定的理由，并附有关佐证材料，连同最终研究成果上报区教科规划办。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第八章 成果推广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第三十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课题管理单位采取多种形式对研究成果进行宣传推介，促进成果转化。课题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 w:cs="仿宋"/>
          <w:sz w:val="32"/>
          <w:szCs w:val="32"/>
        </w:rPr>
        <w:t>单位应创造条件为课题成果交流转化提供相应支持和服务。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第三十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区教科规划办</w:t>
      </w:r>
      <w:r>
        <w:rPr>
          <w:rFonts w:hint="eastAsia" w:ascii="仿宋" w:hAnsi="仿宋" w:eastAsia="仿宋" w:cs="仿宋"/>
          <w:sz w:val="32"/>
          <w:szCs w:val="32"/>
        </w:rPr>
        <w:t>将与有关部门一起定期召开课题研究成果报告会、学术交流会和信息发布会，以促进优秀教育科研成果的推广应用。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第三十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具有重要应用价值、学术价值的研究成果，课题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 w:cs="仿宋"/>
          <w:sz w:val="32"/>
          <w:szCs w:val="32"/>
        </w:rPr>
        <w:t>单位应及时报送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区教科规划办</w:t>
      </w:r>
      <w:r>
        <w:rPr>
          <w:rFonts w:hint="eastAsia" w:ascii="仿宋" w:hAnsi="仿宋" w:eastAsia="仿宋" w:cs="仿宋"/>
          <w:sz w:val="32"/>
          <w:szCs w:val="32"/>
        </w:rPr>
        <w:t>；并充分利用各种媒体多形式开展成果宣传推广。对外公布课题成果，应严格遵守国家有关保密工作的规定和制度。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第三十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课题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</w:t>
      </w:r>
      <w:r>
        <w:rPr>
          <w:rFonts w:hint="eastAsia" w:ascii="仿宋" w:hAnsi="仿宋" w:eastAsia="仿宋" w:cs="仿宋"/>
          <w:sz w:val="32"/>
          <w:szCs w:val="32"/>
        </w:rPr>
        <w:t>位应采取措施，多渠道筹措资金，资助或协助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教育科学规划课题优秀成果的出版和学术交流。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第九章 监督与处罚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第三十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在研课题有下列情形之一者，课题作撤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sz w:val="32"/>
          <w:szCs w:val="32"/>
        </w:rPr>
        <w:t>处理，并予以公开通报。有经费资助的课题追回所拨付的课题经费。被撤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sz w:val="32"/>
          <w:szCs w:val="32"/>
        </w:rPr>
        <w:t>的课题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主持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sz w:val="32"/>
          <w:szCs w:val="32"/>
        </w:rPr>
        <w:t>课题被撤项之日起五年内不得申请新课题，课题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 w:cs="仿宋"/>
          <w:sz w:val="32"/>
          <w:szCs w:val="32"/>
        </w:rPr>
        <w:t>单位两年内不得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申请新课题。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无故终止课题研究工作；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以课题名义营利；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对课题进行虚假宣传；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研究成果有严重政治问题；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剽窃他人成果，弄虚作假；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研究成果学术质量低劣；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年仍未能结题者；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擅自变更课题；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两次结题评审未获通过。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第十章  附则</w:t>
      </w:r>
    </w:p>
    <w:p>
      <w:pPr>
        <w:ind w:left="0" w:leftChars="0" w:firstLine="640" w:firstLineChars="200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楷体"/>
          <w:sz w:val="32"/>
          <w:szCs w:val="32"/>
        </w:rPr>
        <w:t>第三十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楷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本办法自印发之日起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生效，解释权和修改权属区教科规划办。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DcxM2ViZjQ4ZDVjMDZjM2JjNjM1ZTYwZDM5MzkifQ=="/>
  </w:docVars>
  <w:rsids>
    <w:rsidRoot w:val="58AC7EC6"/>
    <w:rsid w:val="00425A1B"/>
    <w:rsid w:val="01311219"/>
    <w:rsid w:val="014E1900"/>
    <w:rsid w:val="02DF39F5"/>
    <w:rsid w:val="03A14AC8"/>
    <w:rsid w:val="06091535"/>
    <w:rsid w:val="06485EDE"/>
    <w:rsid w:val="07BA2BBD"/>
    <w:rsid w:val="0821665D"/>
    <w:rsid w:val="08600605"/>
    <w:rsid w:val="0A0F5D27"/>
    <w:rsid w:val="0A2A0252"/>
    <w:rsid w:val="0A8D6D34"/>
    <w:rsid w:val="0B0423BE"/>
    <w:rsid w:val="0B7E437B"/>
    <w:rsid w:val="0BC232D1"/>
    <w:rsid w:val="0C612F06"/>
    <w:rsid w:val="0CE5248D"/>
    <w:rsid w:val="0D8665EE"/>
    <w:rsid w:val="0DCD2AA6"/>
    <w:rsid w:val="0DD11BD2"/>
    <w:rsid w:val="0DD326B0"/>
    <w:rsid w:val="0DF43E42"/>
    <w:rsid w:val="0EEA04D3"/>
    <w:rsid w:val="0F8E42AD"/>
    <w:rsid w:val="0F9765D4"/>
    <w:rsid w:val="0FDD306A"/>
    <w:rsid w:val="102B2027"/>
    <w:rsid w:val="10C20A35"/>
    <w:rsid w:val="10CA5CE4"/>
    <w:rsid w:val="116A3A44"/>
    <w:rsid w:val="130628D8"/>
    <w:rsid w:val="1408129B"/>
    <w:rsid w:val="141461B7"/>
    <w:rsid w:val="14DF49A9"/>
    <w:rsid w:val="151C0157"/>
    <w:rsid w:val="15A57A9C"/>
    <w:rsid w:val="164B2537"/>
    <w:rsid w:val="1655713F"/>
    <w:rsid w:val="171C4DC0"/>
    <w:rsid w:val="178B42E5"/>
    <w:rsid w:val="192A04EA"/>
    <w:rsid w:val="19314B52"/>
    <w:rsid w:val="197D70ED"/>
    <w:rsid w:val="1998697F"/>
    <w:rsid w:val="1A7237CD"/>
    <w:rsid w:val="1A732045"/>
    <w:rsid w:val="1C8C7630"/>
    <w:rsid w:val="1DAF24EA"/>
    <w:rsid w:val="1E464C0C"/>
    <w:rsid w:val="1EBD4792"/>
    <w:rsid w:val="1F1F142A"/>
    <w:rsid w:val="1FB5338C"/>
    <w:rsid w:val="20E24984"/>
    <w:rsid w:val="20EA4A13"/>
    <w:rsid w:val="20FC3C98"/>
    <w:rsid w:val="2131415E"/>
    <w:rsid w:val="22BA7312"/>
    <w:rsid w:val="22DF2A3D"/>
    <w:rsid w:val="23562F63"/>
    <w:rsid w:val="23E73340"/>
    <w:rsid w:val="24AA3436"/>
    <w:rsid w:val="26EA6341"/>
    <w:rsid w:val="27233601"/>
    <w:rsid w:val="27366634"/>
    <w:rsid w:val="2759667F"/>
    <w:rsid w:val="27AA6118"/>
    <w:rsid w:val="27FA327F"/>
    <w:rsid w:val="282B4068"/>
    <w:rsid w:val="288E2146"/>
    <w:rsid w:val="290F208E"/>
    <w:rsid w:val="29196D03"/>
    <w:rsid w:val="29502F31"/>
    <w:rsid w:val="29A2621B"/>
    <w:rsid w:val="29B11398"/>
    <w:rsid w:val="2ADD549C"/>
    <w:rsid w:val="2B0F1C36"/>
    <w:rsid w:val="2B7FF694"/>
    <w:rsid w:val="2C071743"/>
    <w:rsid w:val="2D5F2B7C"/>
    <w:rsid w:val="2D99286E"/>
    <w:rsid w:val="2DDF7C49"/>
    <w:rsid w:val="2E2A12ED"/>
    <w:rsid w:val="2E36630F"/>
    <w:rsid w:val="2E5E79E6"/>
    <w:rsid w:val="2E7144AF"/>
    <w:rsid w:val="2FB13E9F"/>
    <w:rsid w:val="30C9346B"/>
    <w:rsid w:val="31A0241D"/>
    <w:rsid w:val="328D4D67"/>
    <w:rsid w:val="329A0FE5"/>
    <w:rsid w:val="33EE686F"/>
    <w:rsid w:val="341A4CAE"/>
    <w:rsid w:val="343D06C3"/>
    <w:rsid w:val="34666505"/>
    <w:rsid w:val="3509652C"/>
    <w:rsid w:val="36145E35"/>
    <w:rsid w:val="36E20265"/>
    <w:rsid w:val="375C3314"/>
    <w:rsid w:val="3B314730"/>
    <w:rsid w:val="3C544530"/>
    <w:rsid w:val="3C581243"/>
    <w:rsid w:val="3C926DD4"/>
    <w:rsid w:val="3C961244"/>
    <w:rsid w:val="3CD843E5"/>
    <w:rsid w:val="3D832F54"/>
    <w:rsid w:val="3DFA4A9B"/>
    <w:rsid w:val="3E6309C2"/>
    <w:rsid w:val="3EDB1E62"/>
    <w:rsid w:val="3F404923"/>
    <w:rsid w:val="3F9EF864"/>
    <w:rsid w:val="3FF92926"/>
    <w:rsid w:val="41AD4322"/>
    <w:rsid w:val="41F07AB5"/>
    <w:rsid w:val="43BA1F54"/>
    <w:rsid w:val="44566134"/>
    <w:rsid w:val="446C2B84"/>
    <w:rsid w:val="44823C05"/>
    <w:rsid w:val="44BF0328"/>
    <w:rsid w:val="45010FCD"/>
    <w:rsid w:val="45774DEB"/>
    <w:rsid w:val="4594318C"/>
    <w:rsid w:val="46222DB2"/>
    <w:rsid w:val="471C6078"/>
    <w:rsid w:val="473E4E9B"/>
    <w:rsid w:val="47A03D92"/>
    <w:rsid w:val="484C5367"/>
    <w:rsid w:val="48573C36"/>
    <w:rsid w:val="48652D9E"/>
    <w:rsid w:val="48A405ED"/>
    <w:rsid w:val="48AF2E51"/>
    <w:rsid w:val="48FD554D"/>
    <w:rsid w:val="4AE05BF9"/>
    <w:rsid w:val="4B441250"/>
    <w:rsid w:val="4B69138A"/>
    <w:rsid w:val="4BB062DC"/>
    <w:rsid w:val="4BDF36EB"/>
    <w:rsid w:val="4C786DF5"/>
    <w:rsid w:val="4CA0241E"/>
    <w:rsid w:val="4D290A7F"/>
    <w:rsid w:val="4D761CDA"/>
    <w:rsid w:val="4E0B6490"/>
    <w:rsid w:val="4EC00E7E"/>
    <w:rsid w:val="4FF359B6"/>
    <w:rsid w:val="50081151"/>
    <w:rsid w:val="50227761"/>
    <w:rsid w:val="50D77086"/>
    <w:rsid w:val="5126622B"/>
    <w:rsid w:val="5154185D"/>
    <w:rsid w:val="52171640"/>
    <w:rsid w:val="53633443"/>
    <w:rsid w:val="53EB684F"/>
    <w:rsid w:val="53ED01E6"/>
    <w:rsid w:val="5442534C"/>
    <w:rsid w:val="550E4E02"/>
    <w:rsid w:val="5515253D"/>
    <w:rsid w:val="55222FC6"/>
    <w:rsid w:val="553171D0"/>
    <w:rsid w:val="55482300"/>
    <w:rsid w:val="55C553E2"/>
    <w:rsid w:val="55CF4CBC"/>
    <w:rsid w:val="56106B5A"/>
    <w:rsid w:val="58AC7EC6"/>
    <w:rsid w:val="59140E77"/>
    <w:rsid w:val="59371578"/>
    <w:rsid w:val="59414788"/>
    <w:rsid w:val="59D6167A"/>
    <w:rsid w:val="5AF54CD9"/>
    <w:rsid w:val="5B117F9E"/>
    <w:rsid w:val="5B2C5C96"/>
    <w:rsid w:val="5C407DD0"/>
    <w:rsid w:val="5C4B2FFB"/>
    <w:rsid w:val="5C575ED1"/>
    <w:rsid w:val="5D0C2745"/>
    <w:rsid w:val="5D173DBB"/>
    <w:rsid w:val="5DFE20F6"/>
    <w:rsid w:val="5E3631C9"/>
    <w:rsid w:val="5E4E7DAF"/>
    <w:rsid w:val="5E7D4589"/>
    <w:rsid w:val="5ECD5F72"/>
    <w:rsid w:val="5F6D308F"/>
    <w:rsid w:val="60903E7C"/>
    <w:rsid w:val="60F82945"/>
    <w:rsid w:val="62200C4B"/>
    <w:rsid w:val="63581EDF"/>
    <w:rsid w:val="63EF5E82"/>
    <w:rsid w:val="645111D2"/>
    <w:rsid w:val="6471490A"/>
    <w:rsid w:val="65AC068A"/>
    <w:rsid w:val="667A7CD1"/>
    <w:rsid w:val="66A43D1D"/>
    <w:rsid w:val="66C97E98"/>
    <w:rsid w:val="684805ED"/>
    <w:rsid w:val="69CD7A3D"/>
    <w:rsid w:val="69D617D1"/>
    <w:rsid w:val="6A125C13"/>
    <w:rsid w:val="6A13276B"/>
    <w:rsid w:val="6C1C0317"/>
    <w:rsid w:val="6C7A40FA"/>
    <w:rsid w:val="6D225CA7"/>
    <w:rsid w:val="6D530CE7"/>
    <w:rsid w:val="6FB95E7D"/>
    <w:rsid w:val="6FDD1E83"/>
    <w:rsid w:val="71116A03"/>
    <w:rsid w:val="71E763FB"/>
    <w:rsid w:val="72D51220"/>
    <w:rsid w:val="730F642F"/>
    <w:rsid w:val="740F0761"/>
    <w:rsid w:val="74B40454"/>
    <w:rsid w:val="757E2E60"/>
    <w:rsid w:val="758F6E0B"/>
    <w:rsid w:val="75937690"/>
    <w:rsid w:val="77011325"/>
    <w:rsid w:val="77DFCBDD"/>
    <w:rsid w:val="78047EB1"/>
    <w:rsid w:val="781EB1A1"/>
    <w:rsid w:val="78A1347D"/>
    <w:rsid w:val="78AD771A"/>
    <w:rsid w:val="7A183119"/>
    <w:rsid w:val="7B0F1A06"/>
    <w:rsid w:val="7B472980"/>
    <w:rsid w:val="7B530818"/>
    <w:rsid w:val="7CDF06F8"/>
    <w:rsid w:val="7CEC7892"/>
    <w:rsid w:val="7D351FE9"/>
    <w:rsid w:val="7D502B5C"/>
    <w:rsid w:val="7ED00AFB"/>
    <w:rsid w:val="7ED583AF"/>
    <w:rsid w:val="7EF50139"/>
    <w:rsid w:val="7F707CFF"/>
    <w:rsid w:val="7FF91886"/>
    <w:rsid w:val="7FFBDAFF"/>
    <w:rsid w:val="B7F76D0E"/>
    <w:rsid w:val="E7FEE13E"/>
    <w:rsid w:val="EFBEE724"/>
    <w:rsid w:val="F776BC2E"/>
    <w:rsid w:val="FFBCB6DD"/>
    <w:rsid w:val="FFE8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left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3756</Words>
  <Characters>3780</Characters>
  <Lines>0</Lines>
  <Paragraphs>0</Paragraphs>
  <TotalTime>31</TotalTime>
  <ScaleCrop>false</ScaleCrop>
  <LinksUpToDate>false</LinksUpToDate>
  <CharactersWithSpaces>3875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2023-09-14T18:13:00Z</dcterms:created>
  <dc:creator>Administrator</dc:creator>
  <cp:lastModifiedBy>thtf</cp:lastModifiedBy>
  <cp:lastPrinted>2024-03-22T18:50:00Z</cp:lastPrinted>
  <dcterms:modified xsi:type="dcterms:W3CDTF">2024-05-23T17:00:39Z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72F3DDF02AB34F80A47417418FDD7FF4_13</vt:lpwstr>
  </property>
</Properties>
</file>