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新疆维吾尔自治区本科毕业论文（设计）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抽检实施细则（试行）</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征求意见稿</w:t>
      </w:r>
      <w:r>
        <w:rPr>
          <w:rFonts w:hint="default"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b w:val="0"/>
          <w:bCs w:val="0"/>
          <w:sz w:val="32"/>
          <w:szCs w:val="32"/>
        </w:rPr>
        <w:t>第一条</w:t>
      </w:r>
      <w:r>
        <w:rPr>
          <w:rFonts w:hint="eastAsia" w:ascii="黑体" w:hAnsi="黑体" w:eastAsia="黑体" w:cs="黑体"/>
          <w:sz w:val="32"/>
          <w:szCs w:val="32"/>
        </w:rPr>
        <w:t xml:space="preserve"> </w:t>
      </w:r>
      <w:r>
        <w:rPr>
          <w:rFonts w:hint="default" w:ascii="Times New Roman" w:hAnsi="Times New Roman" w:eastAsia="方正仿宋_GBK" w:cs="Times New Roman"/>
          <w:sz w:val="32"/>
          <w:szCs w:val="32"/>
        </w:rPr>
        <w:t>为贯彻落实中共中央、国务院《深化新时代教育评价改革总体方案》和中共中央办公厅、国务院办公厅《关于深化新时代教育督导体制机制改革的意见》，加强高等教育督导评估监测，保证本科人才培养质量，根据《教育部关于印发&lt;本科毕业论文（设计）抽检办法（试行）&gt;的通知》（教督〔2020〕5号），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黑体" w:hAnsi="黑体" w:eastAsia="黑体" w:cs="黑体"/>
          <w:b w:val="0"/>
          <w:bCs w:val="0"/>
          <w:sz w:val="32"/>
          <w:szCs w:val="32"/>
        </w:rPr>
        <w:t>第二条</w:t>
      </w:r>
      <w:r>
        <w:rPr>
          <w:rFonts w:hint="default" w:ascii="Times New Roman" w:hAnsi="Times New Roman" w:eastAsia="方正仿宋_GBK" w:cs="Times New Roman"/>
          <w:sz w:val="32"/>
          <w:szCs w:val="32"/>
        </w:rPr>
        <w:t xml:space="preserve"> 开展本科毕业论文（设计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本科毕业论文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）抽检</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，旨在考查本科生基本学术规范和基本学术素养，进一步督促高校落实立德树人根本任务，推动高校加强培养过程管理、把好毕业出口质量。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b w:val="0"/>
          <w:bCs w:val="0"/>
          <w:sz w:val="32"/>
          <w:szCs w:val="32"/>
        </w:rPr>
        <w:t>第三条</w:t>
      </w:r>
      <w:r>
        <w:rPr>
          <w:rFonts w:hint="default" w:ascii="Times New Roman" w:hAnsi="Times New Roman" w:eastAsia="方正仿宋_GBK" w:cs="Times New Roman"/>
          <w:sz w:val="32"/>
          <w:szCs w:val="32"/>
        </w:rPr>
        <w:t xml:space="preserve"> 自治区教育厅负责区属高校本科毕业论文抽检工作的统筹组织和实施。本科毕业论文抽检工作应遵循独立、客观、科学、公正原则，任何单位和个人都不得以任何方式干扰抽检工作的正常进行。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评议要素和重点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本科毕业论文抽检对论文选题意义、写作安排、逻辑构建、专业能力以及学术规范等进行重点考察。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自治区教育厅根据抽检重点，制定《新疆维吾尔自治区本科毕业论文（设计）抽检评议要素（试行）》（见附件），并结合实际进行动态调整。其他形式的毕业作品、毕业创作、项目设计等，可根据《普通高等学校本科专业类教学质量国家标准》规定，参照评议要素进行评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抽检程序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本科毕业论文抽检每年开展，自治区教育厅根据教育部统一部署，依托全国本科毕业论文抽检信息平台（以下简称抽检信息平台），启动年度论文抽检工作，确定当年抽检工作具体要求，各高校按照要求报送本科毕业论文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抽检范围为上一学年度授予学士学位的论文，按照每个高校每个专业至少抽取一篇的原则，覆盖区属所有本科层次普通高校及其本科专业。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default" w:ascii="Times New Roman" w:hAnsi="Times New Roman" w:eastAsia="方正仿宋_GBK" w:cs="Times New Roman"/>
          <w:sz w:val="32"/>
          <w:szCs w:val="32"/>
        </w:rPr>
        <w:t>抽检比例</w:t>
      </w:r>
      <w:r>
        <w:rPr>
          <w:rFonts w:hint="eastAsia"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不低于2%，利用抽检信息平台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采取随机抽取的方式确定抽检名单，对需要重点监测</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以及上一年度出现问题较多的高校、专业可适当提高抽检比例。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论文抽检实行同行专家评议的规则。按照论文所属学科门类、专业以及研究方向等要素，利用抽检信息平台，采取随机匹配方式遴选专家对抽检论文进行评议，专家根据评议要素，参照《普通高等学校本科专业类教学质量国家标准》等要求，对论文提出评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每篇论文分送3位同行专家评议，3位专家中有2位以上（含2位）评议意见为“不合格”的毕业论文，将认定为“存在问题毕业论文”。3位专家中有1位专家评议意见为“不合格”的，将再送2位同行专家进行复评。2位复评专家中有1位以上（含1位）专家评议意见为“不合格”的，将认定为“存在问题毕业论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抽检结果反馈与使用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本科毕业论文抽检结果由自治区教育厅向各高校反馈，抄送自治区教育督导委员会，同时报教育部备案。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二</w:t>
      </w:r>
      <w:r>
        <w:rPr>
          <w:rFonts w:hint="default" w:ascii="黑体" w:hAnsi="黑体" w:eastAsia="黑体" w:cs="黑体"/>
          <w:sz w:val="32"/>
          <w:szCs w:val="32"/>
        </w:rPr>
        <w:t>条</w:t>
      </w:r>
      <w:r>
        <w:rPr>
          <w:rFonts w:hint="default" w:ascii="Times New Roman" w:hAnsi="Times New Roman" w:eastAsia="方正仿宋_GBK" w:cs="Times New Roman"/>
          <w:sz w:val="32"/>
          <w:szCs w:val="32"/>
        </w:rPr>
        <w:t xml:space="preserve"> 抽检结果以适当方式向各高校公布。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三</w:t>
      </w:r>
      <w:r>
        <w:rPr>
          <w:rFonts w:hint="default" w:ascii="黑体" w:hAnsi="黑体" w:eastAsia="黑体" w:cs="黑体"/>
          <w:sz w:val="32"/>
          <w:szCs w:val="32"/>
        </w:rPr>
        <w:t>条</w:t>
      </w:r>
      <w:r>
        <w:rPr>
          <w:rFonts w:hint="default" w:ascii="Times New Roman" w:hAnsi="Times New Roman" w:eastAsia="方正仿宋_GBK" w:cs="Times New Roman"/>
          <w:sz w:val="32"/>
          <w:szCs w:val="32"/>
        </w:rPr>
        <w:t xml:space="preserve"> 抽检结果将作为高校分类评价、本科教育教学评估、一流本科专业及课程建设、本科专业认证、专业建设经费投入、招生计划调控、直升推免的研究生比例、申报新增本科专业、学位点申报等教育资源配置的重要参考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四</w:t>
      </w:r>
      <w:r>
        <w:rPr>
          <w:rFonts w:hint="default" w:ascii="黑体" w:hAnsi="黑体" w:eastAsia="黑体" w:cs="黑体"/>
          <w:sz w:val="32"/>
          <w:szCs w:val="32"/>
        </w:rPr>
        <w:t>条</w:t>
      </w:r>
      <w:r>
        <w:rPr>
          <w:rFonts w:hint="default" w:ascii="Times New Roman" w:hAnsi="Times New Roman" w:eastAsia="方正仿宋_GBK" w:cs="Times New Roman"/>
          <w:sz w:val="32"/>
          <w:szCs w:val="32"/>
        </w:rPr>
        <w:t xml:space="preserve"> 对连续2年有“存在问题毕业论文”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且比例较高或篇数较多的高校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val="en-US" w:eastAsia="zh-CN"/>
        </w:rPr>
        <w:t>质量</w:t>
      </w:r>
      <w:r>
        <w:rPr>
          <w:rFonts w:hint="default" w:ascii="Times New Roman" w:hAnsi="Times New Roman" w:eastAsia="方正仿宋_GBK" w:cs="Times New Roman"/>
          <w:sz w:val="32"/>
          <w:szCs w:val="32"/>
        </w:rPr>
        <w:t>约谈、通报、限期整改等问责措施。相关高校应对有关部门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学院</w:t>
      </w:r>
      <w:r>
        <w:rPr>
          <w:rFonts w:hint="eastAsia" w:ascii="Times New Roman" w:hAnsi="Times New Roman" w:eastAsia="方正仿宋_GBK" w:cs="Times New Roman"/>
          <w:sz w:val="32"/>
          <w:szCs w:val="32"/>
          <w:lang w:val="en-US" w:eastAsia="zh-CN"/>
        </w:rPr>
        <w:t>和个人</w:t>
      </w:r>
      <w:r>
        <w:rPr>
          <w:rFonts w:hint="default" w:ascii="Times New Roman" w:hAnsi="Times New Roman" w:eastAsia="方正仿宋_GBK" w:cs="Times New Roman"/>
          <w:sz w:val="32"/>
          <w:szCs w:val="32"/>
        </w:rPr>
        <w:t>的人才培养责任落实情况进行调查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依据有关规定予以追责。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对连续3年抽检存在问题较多的专业，经整改仍无法达到要求的，视为不能保证培养质量，自治区教育厅将依据《中华人民共和国学位条例》责令其暂停招生，或由自治区学位委员会撤销其学士学位授权点。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对涉嫌存在抄袭、剽窃、伪造、篡改、买卖、代写等学术不端行为的毕业论文，由相关高校进行调查核实，对查实的依法撤销已授予学位，并注销学位证书。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各高校应建立健全本科毕业论文抽检制度，完善质量保障体系，加强对本科毕业论文的全过程监督，强化抽检结果运用，科学分析问题原因，制定整改措施并确保落实到位。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自治区教育厅建立监督举报和申诉机制，设立本科毕业论文抽检工作监督举报信箱，对毕业论文评议结果有异议的进行复核。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default" w:ascii="Times New Roman" w:hAnsi="Times New Roman" w:eastAsia="方正仿宋_GBK" w:cs="Times New Roman"/>
          <w:sz w:val="32"/>
          <w:szCs w:val="32"/>
        </w:rPr>
        <w:t>自治区教育厅将本科毕业论文抽检工作经费列入年度预算经费，确保抽检工作有序开展。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十条</w:t>
      </w:r>
      <w:r>
        <w:rPr>
          <w:rFonts w:hint="default" w:ascii="Times New Roman" w:hAnsi="Times New Roman" w:eastAsia="方正仿宋_GBK" w:cs="Times New Roman"/>
          <w:sz w:val="32"/>
          <w:szCs w:val="32"/>
        </w:rPr>
        <w:t xml:space="preserve"> 各高校应将本科毕业论文抽检工作经费列入学校年度工作预算，加强组织领导，细化工作措施，确保抽检工作按时保质保量完成。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rPr>
        <w:tab/>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default" w:ascii="Times New Roman" w:hAnsi="Times New Roman" w:eastAsia="方正仿宋_GBK" w:cs="Times New Roman"/>
          <w:sz w:val="32"/>
          <w:szCs w:val="32"/>
        </w:rPr>
        <w:t>本实施细则由自治区教育厅负责解释。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default" w:ascii="Times New Roman" w:hAnsi="Times New Roman" w:eastAsia="方正仿宋_GBK" w:cs="Times New Roman"/>
          <w:sz w:val="32"/>
          <w:szCs w:val="32"/>
        </w:rPr>
        <w:t xml:space="preserve"> 本实施细则自2023年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spacing w:line="560" w:lineRule="exact"/>
        <w:ind w:left="-420" w:leftChars="-200" w:firstLine="419" w:firstLineChars="131"/>
        <w:rPr>
          <w:rFonts w:hint="eastAsia" w:ascii="方正仿宋_GBK" w:hAnsi="黑体" w:eastAsia="方正仿宋_GBK"/>
          <w:sz w:val="32"/>
          <w:szCs w:val="32"/>
        </w:rPr>
      </w:pPr>
    </w:p>
    <w:p>
      <w:pPr>
        <w:spacing w:line="560" w:lineRule="exact"/>
        <w:ind w:left="-420" w:leftChars="-200" w:firstLine="419" w:firstLineChars="131"/>
        <w:rPr>
          <w:rFonts w:hint="eastAsia" w:ascii="方正仿宋_GBK" w:hAnsi="黑体" w:eastAsia="方正仿宋_GBK"/>
          <w:sz w:val="32"/>
          <w:szCs w:val="32"/>
        </w:rPr>
      </w:pPr>
    </w:p>
    <w:p>
      <w:pPr>
        <w:spacing w:line="560" w:lineRule="exact"/>
        <w:ind w:left="-420" w:leftChars="-200" w:firstLine="419" w:firstLineChars="131"/>
        <w:rPr>
          <w:rFonts w:hint="eastAsia" w:ascii="方正仿宋_GBK" w:hAnsi="黑体" w:eastAsia="方正仿宋_GBK"/>
          <w:sz w:val="32"/>
          <w:szCs w:val="32"/>
        </w:rPr>
      </w:pPr>
    </w:p>
    <w:p>
      <w:pPr>
        <w:spacing w:line="560" w:lineRule="exact"/>
        <w:ind w:left="-420" w:leftChars="-200" w:firstLine="419" w:firstLineChars="131"/>
        <w:rPr>
          <w:rFonts w:hint="eastAsia" w:ascii="方正仿宋_GBK" w:hAnsi="黑体" w:eastAsia="方正仿宋_GBK"/>
          <w:sz w:val="32"/>
          <w:szCs w:val="32"/>
        </w:rPr>
      </w:pPr>
    </w:p>
    <w:p>
      <w:pPr>
        <w:spacing w:line="560" w:lineRule="exact"/>
        <w:ind w:left="-54" w:leftChars="-200" w:hanging="366" w:hangingChars="131"/>
        <w:rPr>
          <w:rFonts w:ascii="方正仿宋_GBK" w:hAnsi="黑体" w:eastAsia="方正仿宋_GBK"/>
          <w:sz w:val="28"/>
          <w:szCs w:val="28"/>
        </w:rPr>
      </w:pPr>
      <w:r>
        <w:rPr>
          <w:rFonts w:hint="eastAsia" w:ascii="方正仿宋_GBK" w:hAnsi="黑体" w:eastAsia="方正仿宋_GBK"/>
          <w:sz w:val="28"/>
          <w:szCs w:val="28"/>
        </w:rPr>
        <w:t>附件：</w:t>
      </w:r>
    </w:p>
    <w:tbl>
      <w:tblPr>
        <w:tblStyle w:val="7"/>
        <w:tblpPr w:leftFromText="180" w:rightFromText="180" w:vertAnchor="text" w:horzAnchor="page" w:tblpX="1544" w:tblpY="756"/>
        <w:tblOverlap w:val="never"/>
        <w:tblW w:w="9050" w:type="dxa"/>
        <w:tblInd w:w="0" w:type="dxa"/>
        <w:tblLayout w:type="fixed"/>
        <w:tblCellMar>
          <w:top w:w="0" w:type="dxa"/>
          <w:left w:w="108" w:type="dxa"/>
          <w:bottom w:w="0" w:type="dxa"/>
          <w:right w:w="108" w:type="dxa"/>
        </w:tblCellMar>
      </w:tblPr>
      <w:tblGrid>
        <w:gridCol w:w="1492"/>
        <w:gridCol w:w="6558"/>
        <w:gridCol w:w="1000"/>
      </w:tblGrid>
      <w:tr>
        <w:tblPrEx>
          <w:tblLayout w:type="fixed"/>
          <w:tblCellMar>
            <w:top w:w="0" w:type="dxa"/>
            <w:left w:w="108" w:type="dxa"/>
            <w:bottom w:w="0" w:type="dxa"/>
            <w:right w:w="108" w:type="dxa"/>
          </w:tblCellMar>
        </w:tblPrEx>
        <w:trPr>
          <w:trHeight w:val="640"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论文题目</w:t>
            </w:r>
          </w:p>
        </w:tc>
        <w:tc>
          <w:tcPr>
            <w:tcW w:w="755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w:t>
            </w:r>
          </w:p>
          <w:p>
            <w:pPr>
              <w:widowControl/>
              <w:spacing w:line="320" w:lineRule="exact"/>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w:t>
            </w:r>
          </w:p>
        </w:tc>
      </w:tr>
      <w:tr>
        <w:tblPrEx>
          <w:tblLayout w:type="fixed"/>
          <w:tblCellMar>
            <w:top w:w="0" w:type="dxa"/>
            <w:left w:w="108" w:type="dxa"/>
            <w:bottom w:w="0" w:type="dxa"/>
            <w:right w:w="108" w:type="dxa"/>
          </w:tblCellMar>
        </w:tblPrEx>
        <w:trPr>
          <w:trHeight w:val="6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专业名称</w:t>
            </w:r>
          </w:p>
        </w:tc>
        <w:tc>
          <w:tcPr>
            <w:tcW w:w="7558"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w:t>
            </w:r>
          </w:p>
          <w:p>
            <w:pPr>
              <w:widowControl/>
              <w:spacing w:line="320" w:lineRule="exact"/>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w:t>
            </w:r>
          </w:p>
        </w:tc>
      </w:tr>
      <w:tr>
        <w:tblPrEx>
          <w:tblLayout w:type="fixed"/>
          <w:tblCellMar>
            <w:top w:w="0" w:type="dxa"/>
            <w:left w:w="108" w:type="dxa"/>
            <w:bottom w:w="0" w:type="dxa"/>
            <w:right w:w="108" w:type="dxa"/>
          </w:tblCellMar>
        </w:tblPrEx>
        <w:trPr>
          <w:trHeight w:val="6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评议项目</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评价要素</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评分</w:t>
            </w:r>
          </w:p>
        </w:tc>
      </w:tr>
      <w:tr>
        <w:tblPrEx>
          <w:tblLayout w:type="fixed"/>
          <w:tblCellMar>
            <w:top w:w="0" w:type="dxa"/>
            <w:left w:w="108" w:type="dxa"/>
            <w:bottom w:w="0" w:type="dxa"/>
            <w:right w:w="108" w:type="dxa"/>
          </w:tblCellMar>
        </w:tblPrEx>
        <w:trPr>
          <w:trHeight w:val="168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选题意义</w:t>
            </w:r>
          </w:p>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（20分）</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 政治方向和价值导向。论文(设计)政治方向是否正确，是</w:t>
            </w:r>
            <w:r>
              <w:rPr>
                <w:rFonts w:hint="default" w:ascii="Times New Roman" w:hAnsi="Times New Roman" w:eastAsia="方正仿宋_GBK" w:cs="Times New Roman"/>
                <w:color w:val="000000"/>
                <w:kern w:val="0"/>
                <w:sz w:val="24"/>
                <w:szCs w:val="24"/>
                <w:lang w:val="en-US" w:eastAsia="zh-CN"/>
              </w:rPr>
              <w:t>否</w:t>
            </w:r>
            <w:r>
              <w:rPr>
                <w:rFonts w:hint="default" w:ascii="Times New Roman" w:hAnsi="Times New Roman" w:eastAsia="方正仿宋_GBK" w:cs="Times New Roman"/>
                <w:color w:val="000000"/>
                <w:kern w:val="0"/>
                <w:sz w:val="24"/>
                <w:szCs w:val="24"/>
              </w:rPr>
              <w:t xml:space="preserve">符合立德树人要求，是否符合社会主义核心价值观。 </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 选题</w:t>
            </w:r>
            <w:r>
              <w:rPr>
                <w:rFonts w:hint="default" w:ascii="Times New Roman" w:hAnsi="Times New Roman" w:eastAsia="方正仿宋_GBK" w:cs="Times New Roman"/>
                <w:color w:val="000000"/>
                <w:kern w:val="0"/>
                <w:sz w:val="24"/>
                <w:szCs w:val="24"/>
                <w:lang w:val="en-US" w:eastAsia="zh-CN"/>
              </w:rPr>
              <w:t>意义</w:t>
            </w:r>
            <w:r>
              <w:rPr>
                <w:rFonts w:hint="default" w:ascii="Times New Roman" w:hAnsi="Times New Roman" w:eastAsia="方正仿宋_GBK" w:cs="Times New Roman"/>
                <w:color w:val="000000"/>
                <w:kern w:val="0"/>
                <w:sz w:val="24"/>
                <w:szCs w:val="24"/>
              </w:rPr>
              <w:t>。论文(设计)选题是否立足于</w:t>
            </w:r>
            <w:r>
              <w:rPr>
                <w:rFonts w:hint="default" w:ascii="Times New Roman" w:hAnsi="Times New Roman" w:eastAsia="方正仿宋_GBK" w:cs="Times New Roman"/>
                <w:color w:val="000000"/>
                <w:kern w:val="0"/>
                <w:sz w:val="24"/>
                <w:szCs w:val="24"/>
                <w:lang w:val="en-US" w:eastAsia="zh-CN"/>
              </w:rPr>
              <w:t>本</w:t>
            </w:r>
            <w:r>
              <w:rPr>
                <w:rFonts w:hint="default" w:ascii="Times New Roman" w:hAnsi="Times New Roman" w:eastAsia="方正仿宋_GBK" w:cs="Times New Roman"/>
                <w:color w:val="000000"/>
                <w:kern w:val="0"/>
                <w:sz w:val="24"/>
                <w:szCs w:val="24"/>
              </w:rPr>
              <w:t>专业领域</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lang w:val="en-US" w:eastAsia="zh-CN"/>
              </w:rPr>
              <w:t>观点是否新颖，</w:t>
            </w:r>
            <w:r>
              <w:rPr>
                <w:rFonts w:hint="default" w:ascii="Times New Roman" w:hAnsi="Times New Roman" w:eastAsia="方正仿宋_GBK" w:cs="Times New Roman"/>
                <w:color w:val="000000"/>
                <w:kern w:val="0"/>
                <w:sz w:val="24"/>
                <w:szCs w:val="24"/>
              </w:rPr>
              <w:t>是否具有一定的理论价值或实际应用价值。</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8"/>
                <w:szCs w:val="28"/>
              </w:rPr>
            </w:pPr>
          </w:p>
        </w:tc>
      </w:tr>
      <w:tr>
        <w:tblPrEx>
          <w:tblLayout w:type="fixed"/>
          <w:tblCellMar>
            <w:top w:w="0" w:type="dxa"/>
            <w:left w:w="108" w:type="dxa"/>
            <w:bottom w:w="0" w:type="dxa"/>
            <w:right w:w="108" w:type="dxa"/>
          </w:tblCellMar>
        </w:tblPrEx>
        <w:trPr>
          <w:trHeight w:val="168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写作安排</w:t>
            </w:r>
          </w:p>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（20分）</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2.1 </w:t>
            </w:r>
            <w:r>
              <w:rPr>
                <w:rFonts w:hint="eastAsia" w:ascii="Times New Roman" w:hAnsi="Times New Roman" w:eastAsia="方正仿宋_GBK" w:cs="Times New Roman"/>
                <w:color w:val="000000"/>
                <w:kern w:val="0"/>
                <w:sz w:val="24"/>
                <w:szCs w:val="24"/>
                <w:lang w:val="en-US" w:eastAsia="zh-CN"/>
              </w:rPr>
              <w:t>文章</w:t>
            </w:r>
            <w:r>
              <w:rPr>
                <w:rFonts w:hint="default" w:ascii="Times New Roman" w:hAnsi="Times New Roman" w:eastAsia="方正仿宋_GBK" w:cs="Times New Roman"/>
                <w:color w:val="000000"/>
                <w:kern w:val="0"/>
                <w:sz w:val="24"/>
                <w:szCs w:val="24"/>
              </w:rPr>
              <w:t>综述。论文(设计)的研究性综述或实践性工作综述是否达到</w:t>
            </w:r>
            <w:r>
              <w:rPr>
                <w:rFonts w:hint="default" w:ascii="Times New Roman" w:hAnsi="Times New Roman" w:eastAsia="方正仿宋_GBK" w:cs="Times New Roman"/>
                <w:color w:val="000000"/>
                <w:kern w:val="0"/>
                <w:sz w:val="24"/>
                <w:szCs w:val="24"/>
                <w:lang w:val="en-US" w:eastAsia="zh-CN"/>
              </w:rPr>
              <w:t>本</w:t>
            </w:r>
            <w:r>
              <w:rPr>
                <w:rFonts w:hint="default" w:ascii="Times New Roman" w:hAnsi="Times New Roman" w:eastAsia="方正仿宋_GBK" w:cs="Times New Roman"/>
                <w:color w:val="000000"/>
                <w:kern w:val="0"/>
                <w:sz w:val="24"/>
                <w:szCs w:val="24"/>
              </w:rPr>
              <w:t>专业要求。</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2.2 进度安排。论文(设计)工作量是否饱满，写作</w:t>
            </w:r>
            <w:r>
              <w:rPr>
                <w:rFonts w:hint="default" w:ascii="Times New Roman" w:hAnsi="Times New Roman" w:eastAsia="方正仿宋_GBK" w:cs="Times New Roman"/>
                <w:color w:val="000000"/>
                <w:kern w:val="0"/>
                <w:sz w:val="24"/>
                <w:szCs w:val="24"/>
                <w:lang w:val="en-US" w:eastAsia="zh-CN"/>
              </w:rPr>
              <w:t>形式符合专业特点和选题需要。</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8"/>
                <w:szCs w:val="28"/>
              </w:rPr>
            </w:pPr>
          </w:p>
        </w:tc>
      </w:tr>
      <w:tr>
        <w:tblPrEx>
          <w:tblLayout w:type="fixed"/>
          <w:tblCellMar>
            <w:top w:w="0" w:type="dxa"/>
            <w:left w:w="108" w:type="dxa"/>
            <w:bottom w:w="0" w:type="dxa"/>
            <w:right w:w="108" w:type="dxa"/>
          </w:tblCellMar>
        </w:tblPrEx>
        <w:trPr>
          <w:trHeight w:val="168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逻辑构建</w:t>
            </w:r>
          </w:p>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（20分）</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 内容组织</w:t>
            </w:r>
            <w:bookmarkStart w:id="0" w:name="_GoBack"/>
            <w:bookmarkEnd w:id="0"/>
            <w:r>
              <w:rPr>
                <w:rFonts w:hint="default" w:ascii="Times New Roman" w:hAnsi="Times New Roman" w:eastAsia="方正仿宋_GBK" w:cs="Times New Roman"/>
                <w:color w:val="000000"/>
                <w:kern w:val="0"/>
                <w:sz w:val="24"/>
                <w:szCs w:val="24"/>
              </w:rPr>
              <w:t>。论文(设计)的主题和内容框架是否明确</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基础知识、研究方法、研究内容的</w:t>
            </w:r>
            <w:r>
              <w:rPr>
                <w:rFonts w:hint="default" w:ascii="Times New Roman" w:hAnsi="Times New Roman" w:eastAsia="方正仿宋_GBK" w:cs="Times New Roman"/>
                <w:color w:val="000000"/>
                <w:kern w:val="0"/>
                <w:sz w:val="24"/>
                <w:szCs w:val="24"/>
                <w:lang w:val="en-US" w:eastAsia="zh-CN"/>
              </w:rPr>
              <w:t>运用以及</w:t>
            </w:r>
            <w:r>
              <w:rPr>
                <w:rFonts w:hint="default" w:ascii="Times New Roman" w:hAnsi="Times New Roman" w:eastAsia="方正仿宋_GBK" w:cs="Times New Roman"/>
                <w:color w:val="000000"/>
                <w:kern w:val="0"/>
                <w:sz w:val="24"/>
                <w:szCs w:val="24"/>
              </w:rPr>
              <w:t>难易程度情况是否达到</w:t>
            </w:r>
            <w:r>
              <w:rPr>
                <w:rFonts w:hint="default" w:ascii="Times New Roman" w:hAnsi="Times New Roman" w:eastAsia="方正仿宋_GBK" w:cs="Times New Roman"/>
                <w:color w:val="000000"/>
                <w:kern w:val="0"/>
                <w:sz w:val="24"/>
                <w:szCs w:val="24"/>
                <w:lang w:val="en-US" w:eastAsia="zh-CN"/>
              </w:rPr>
              <w:t>本</w:t>
            </w:r>
            <w:r>
              <w:rPr>
                <w:rFonts w:hint="default" w:ascii="Times New Roman" w:hAnsi="Times New Roman" w:eastAsia="方正仿宋_GBK" w:cs="Times New Roman"/>
                <w:color w:val="000000"/>
                <w:kern w:val="0"/>
                <w:sz w:val="24"/>
                <w:szCs w:val="24"/>
              </w:rPr>
              <w:t>专业</w:t>
            </w:r>
            <w:r>
              <w:rPr>
                <w:rFonts w:hint="default" w:ascii="Times New Roman" w:hAnsi="Times New Roman" w:eastAsia="方正仿宋_GBK" w:cs="Times New Roman"/>
                <w:color w:val="000000"/>
                <w:kern w:val="0"/>
                <w:sz w:val="24"/>
                <w:szCs w:val="24"/>
                <w:lang w:val="en-US" w:eastAsia="zh-CN"/>
              </w:rPr>
              <w:t>要</w:t>
            </w:r>
            <w:r>
              <w:rPr>
                <w:rFonts w:hint="default" w:ascii="Times New Roman" w:hAnsi="Times New Roman" w:eastAsia="方正仿宋_GBK" w:cs="Times New Roman"/>
                <w:color w:val="000000"/>
                <w:kern w:val="0"/>
                <w:sz w:val="24"/>
                <w:szCs w:val="24"/>
              </w:rPr>
              <w:t xml:space="preserve">求。 </w:t>
            </w:r>
          </w:p>
          <w:p>
            <w:pPr>
              <w:pStyle w:val="8"/>
              <w:numPr>
                <w:ilvl w:val="0"/>
                <w:numId w:val="0"/>
              </w:numPr>
              <w:tabs>
                <w:tab w:val="left" w:pos="671"/>
              </w:tabs>
              <w:spacing w:line="36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 逻辑构建。论文(设计)的逻辑构建或结构是否</w:t>
            </w:r>
            <w:r>
              <w:rPr>
                <w:rFonts w:hint="default" w:ascii="Times New Roman" w:hAnsi="Times New Roman" w:eastAsia="方正仿宋_GBK" w:cs="Times New Roman"/>
                <w:color w:val="000000"/>
                <w:kern w:val="0"/>
                <w:sz w:val="24"/>
                <w:szCs w:val="24"/>
                <w:lang w:val="en-US" w:eastAsia="zh-CN"/>
              </w:rPr>
              <w:t>清晰、层次分明，</w:t>
            </w:r>
            <w:r>
              <w:rPr>
                <w:rFonts w:hint="default" w:ascii="Times New Roman" w:hAnsi="Times New Roman" w:eastAsia="方正仿宋_GBK" w:cs="Times New Roman"/>
                <w:color w:val="000000"/>
                <w:kern w:val="0"/>
                <w:sz w:val="24"/>
                <w:szCs w:val="24"/>
              </w:rPr>
              <w:t>是否能体现本专业领域的</w:t>
            </w:r>
            <w:r>
              <w:rPr>
                <w:rFonts w:hint="default" w:ascii="Times New Roman" w:hAnsi="Times New Roman" w:eastAsia="方正仿宋_GBK" w:cs="Times New Roman"/>
                <w:color w:val="000000"/>
                <w:kern w:val="0"/>
                <w:sz w:val="24"/>
                <w:szCs w:val="24"/>
                <w:lang w:val="en-US" w:eastAsia="zh-CN"/>
              </w:rPr>
              <w:t>专门知识和</w:t>
            </w:r>
            <w:r>
              <w:rPr>
                <w:rFonts w:hint="default" w:ascii="Times New Roman" w:hAnsi="Times New Roman" w:eastAsia="方正仿宋_GBK" w:cs="Times New Roman"/>
                <w:color w:val="000000"/>
                <w:kern w:val="0"/>
                <w:sz w:val="24"/>
                <w:szCs w:val="24"/>
              </w:rPr>
              <w:t>专业能力</w:t>
            </w:r>
            <w:r>
              <w:rPr>
                <w:rFonts w:hint="default" w:ascii="Times New Roman" w:hAnsi="Times New Roman" w:eastAsia="方正仿宋_GBK" w:cs="Times New Roman"/>
                <w:color w:val="000000"/>
                <w:kern w:val="0"/>
                <w:sz w:val="24"/>
                <w:szCs w:val="24"/>
                <w:lang w:eastAsia="zh-CN"/>
              </w:rPr>
              <w:t>。</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8"/>
                <w:szCs w:val="28"/>
              </w:rPr>
            </w:pPr>
          </w:p>
        </w:tc>
      </w:tr>
      <w:tr>
        <w:tblPrEx>
          <w:tblLayout w:type="fixed"/>
          <w:tblCellMar>
            <w:top w:w="0" w:type="dxa"/>
            <w:left w:w="108" w:type="dxa"/>
            <w:bottom w:w="0" w:type="dxa"/>
            <w:right w:w="108" w:type="dxa"/>
          </w:tblCellMar>
        </w:tblPrEx>
        <w:trPr>
          <w:trHeight w:val="168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专业能力</w:t>
            </w:r>
          </w:p>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（20分）</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4.1 专业知识。论文(设计)是否综合运用专业知识进行理论研究或解决实际问题，是否达到</w:t>
            </w:r>
            <w:r>
              <w:rPr>
                <w:rFonts w:hint="default" w:ascii="Times New Roman" w:hAnsi="Times New Roman" w:eastAsia="方正仿宋_GBK" w:cs="Times New Roman"/>
                <w:color w:val="000000"/>
                <w:kern w:val="0"/>
                <w:sz w:val="24"/>
                <w:szCs w:val="24"/>
                <w:lang w:val="en-US" w:eastAsia="zh-CN"/>
              </w:rPr>
              <w:t>本</w:t>
            </w:r>
            <w:r>
              <w:rPr>
                <w:rFonts w:hint="default" w:ascii="Times New Roman" w:hAnsi="Times New Roman" w:eastAsia="方正仿宋_GBK" w:cs="Times New Roman"/>
                <w:color w:val="000000"/>
                <w:kern w:val="0"/>
                <w:sz w:val="24"/>
                <w:szCs w:val="24"/>
              </w:rPr>
              <w:t xml:space="preserve">专业的培养目标及毕业要求。 </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4.2 分析能力。论文(设计)论证分析是否严谨合理，所表达的观点是否体现独立分析问题的能力</w:t>
            </w:r>
            <w:r>
              <w:rPr>
                <w:rFonts w:hint="default" w:ascii="Times New Roman" w:hAnsi="Times New Roman" w:eastAsia="方正仿宋_GBK" w:cs="Times New Roman"/>
                <w:color w:val="000000"/>
                <w:kern w:val="0"/>
                <w:sz w:val="24"/>
                <w:szCs w:val="24"/>
                <w:lang w:eastAsia="zh-CN"/>
              </w:rPr>
              <w:t>。</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8"/>
                <w:szCs w:val="28"/>
              </w:rPr>
            </w:pPr>
          </w:p>
        </w:tc>
      </w:tr>
      <w:tr>
        <w:tblPrEx>
          <w:tblLayout w:type="fixed"/>
          <w:tblCellMar>
            <w:top w:w="0" w:type="dxa"/>
            <w:left w:w="108" w:type="dxa"/>
            <w:bottom w:w="0" w:type="dxa"/>
            <w:right w:w="108" w:type="dxa"/>
          </w:tblCellMar>
        </w:tblPrEx>
        <w:trPr>
          <w:trHeight w:val="168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学术规范</w:t>
            </w:r>
          </w:p>
          <w:p>
            <w:pPr>
              <w:widowControl/>
              <w:spacing w:line="320" w:lineRule="exact"/>
              <w:jc w:val="center"/>
              <w:rPr>
                <w:rFonts w:hint="default" w:ascii="Times New Roman" w:hAnsi="Times New Roman" w:eastAsia="黑体" w:cs="Times New Roman"/>
                <w:bCs/>
                <w:color w:val="000000"/>
                <w:kern w:val="0"/>
                <w:sz w:val="28"/>
                <w:szCs w:val="28"/>
              </w:rPr>
            </w:pPr>
            <w:r>
              <w:rPr>
                <w:rFonts w:hint="default" w:ascii="Times New Roman" w:hAnsi="Times New Roman" w:eastAsia="黑体" w:cs="Times New Roman"/>
                <w:bCs/>
                <w:color w:val="000000"/>
                <w:kern w:val="0"/>
                <w:sz w:val="28"/>
                <w:szCs w:val="28"/>
              </w:rPr>
              <w:t>（20分）</w:t>
            </w:r>
          </w:p>
        </w:tc>
        <w:tc>
          <w:tcPr>
            <w:tcW w:w="655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 xml:space="preserve"> 论文规范。论文(设计)的文字表达、书写格式、图表注释资料引证以及参考文献等是否规范准确。</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 xml:space="preserve"> 学术不端。论文(设计)是否存在抄袭、剽窃、伪造、篡改、买卖、代写等学术不端行为。</w:t>
            </w:r>
          </w:p>
        </w:tc>
        <w:tc>
          <w:tcPr>
            <w:tcW w:w="10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方正仿宋_GBK" w:cs="Times New Roman"/>
                <w:color w:val="000000"/>
                <w:kern w:val="0"/>
                <w:sz w:val="28"/>
                <w:szCs w:val="28"/>
              </w:rPr>
            </w:pPr>
          </w:p>
        </w:tc>
      </w:tr>
      <w:tr>
        <w:tblPrEx>
          <w:tblLayout w:type="fixed"/>
          <w:tblCellMar>
            <w:top w:w="0" w:type="dxa"/>
            <w:left w:w="108" w:type="dxa"/>
            <w:bottom w:w="0" w:type="dxa"/>
            <w:right w:w="108" w:type="dxa"/>
          </w:tblCellMar>
        </w:tblPrEx>
        <w:trPr>
          <w:trHeight w:val="627"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总分</w:t>
            </w:r>
          </w:p>
        </w:tc>
        <w:tc>
          <w:tcPr>
            <w:tcW w:w="7558" w:type="dxa"/>
            <w:gridSpan w:val="2"/>
            <w:tcBorders>
              <w:top w:val="nil"/>
              <w:left w:val="nil"/>
              <w:bottom w:val="single" w:color="auto" w:sz="4" w:space="0"/>
              <w:right w:val="single" w:color="auto" w:sz="4" w:space="0"/>
            </w:tcBorders>
            <w:shd w:val="clear" w:color="auto" w:fill="auto"/>
            <w:vAlign w:val="center"/>
          </w:tcPr>
          <w:p>
            <w:pPr>
              <w:widowControl/>
              <w:ind w:firstLine="1405" w:firstLineChars="500"/>
              <w:jc w:val="left"/>
              <w:rPr>
                <w:rFonts w:hint="default" w:ascii="Times New Roman" w:hAnsi="Times New Roman" w:eastAsia="方正仿宋_GBK" w:cs="Times New Roman"/>
                <w:b/>
                <w:color w:val="000000"/>
                <w:kern w:val="0"/>
                <w:sz w:val="28"/>
                <w:szCs w:val="28"/>
              </w:rPr>
            </w:pPr>
          </w:p>
        </w:tc>
      </w:tr>
      <w:tr>
        <w:tblPrEx>
          <w:tblLayout w:type="fixed"/>
          <w:tblCellMar>
            <w:top w:w="0" w:type="dxa"/>
            <w:left w:w="108" w:type="dxa"/>
            <w:bottom w:w="0" w:type="dxa"/>
            <w:right w:w="108" w:type="dxa"/>
          </w:tblCellMar>
        </w:tblPrEx>
        <w:trPr>
          <w:trHeight w:val="627"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分档评价</w:t>
            </w:r>
          </w:p>
        </w:tc>
        <w:tc>
          <w:tcPr>
            <w:tcW w:w="7558" w:type="dxa"/>
            <w:gridSpan w:val="2"/>
            <w:tcBorders>
              <w:top w:val="nil"/>
              <w:left w:val="nil"/>
              <w:bottom w:val="single" w:color="auto" w:sz="4" w:space="0"/>
              <w:right w:val="single" w:color="auto" w:sz="4" w:space="0"/>
            </w:tcBorders>
            <w:shd w:val="clear" w:color="auto" w:fill="auto"/>
            <w:vAlign w:val="center"/>
          </w:tcPr>
          <w:p>
            <w:pPr>
              <w:widowControl/>
              <w:ind w:firstLine="1400" w:firstLineChars="5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优秀       良好        一般      不合格</w:t>
            </w:r>
          </w:p>
        </w:tc>
      </w:tr>
      <w:tr>
        <w:tblPrEx>
          <w:tblLayout w:type="fixed"/>
          <w:tblCellMar>
            <w:top w:w="0" w:type="dxa"/>
            <w:left w:w="108" w:type="dxa"/>
            <w:bottom w:w="0" w:type="dxa"/>
            <w:right w:w="108" w:type="dxa"/>
          </w:tblCellMar>
        </w:tblPrEx>
        <w:trPr>
          <w:trHeight w:val="627"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总体评价</w:t>
            </w:r>
          </w:p>
        </w:tc>
        <w:tc>
          <w:tcPr>
            <w:tcW w:w="7558"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合格      不合格</w:t>
            </w:r>
          </w:p>
        </w:tc>
      </w:tr>
    </w:tbl>
    <w:p>
      <w:pPr>
        <w:keepNext w:val="0"/>
        <w:keepLines w:val="0"/>
        <w:pageBreakBefore w:val="0"/>
        <w:widowControl w:val="0"/>
        <w:kinsoku/>
        <w:wordWrap/>
        <w:overflowPunct/>
        <w:topLinePunct w:val="0"/>
        <w:autoSpaceDE/>
        <w:autoSpaceDN/>
        <w:bidi w:val="0"/>
        <w:adjustRightInd/>
        <w:snapToGrid/>
        <w:spacing w:line="560" w:lineRule="exact"/>
        <w:ind w:left="24" w:leftChars="-200" w:right="0" w:rightChars="0" w:hanging="444" w:hangingChars="139"/>
        <w:jc w:val="center"/>
        <w:textAlignment w:val="auto"/>
        <w:outlineLvl w:val="9"/>
        <w:rPr>
          <w:rFonts w:hint="default" w:ascii="Times New Roman" w:hAnsi="Times New Roman" w:eastAsia="方正仿宋_GBK" w:cs="Times New Roman"/>
          <w:sz w:val="32"/>
          <w:szCs w:val="32"/>
        </w:rPr>
      </w:pPr>
      <w:r>
        <w:rPr>
          <w:rFonts w:hint="eastAsia" w:ascii="方正小标宋_GBK" w:eastAsia="方正小标宋_GBK"/>
          <w:b w:val="0"/>
          <w:sz w:val="32"/>
          <w:szCs w:val="32"/>
        </w:rPr>
        <w:t>新疆维吾尔自治区本科毕业论文（设计）抽检评议要素（试行）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353A3"/>
    <w:rsid w:val="16C353A3"/>
    <w:rsid w:val="26184736"/>
    <w:rsid w:val="4BFC63E1"/>
    <w:rsid w:val="5FE96B12"/>
    <w:rsid w:val="66D3445B"/>
    <w:rsid w:val="6EB0348C"/>
    <w:rsid w:val="7BA1149F"/>
    <w:rsid w:val="7CC7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spacing w:before="53"/>
      <w:jc w:val="center"/>
      <w:outlineLvl w:val="0"/>
    </w:pPr>
    <w:rPr>
      <w:rFonts w:ascii="华文中宋" w:hAnsi="华文中宋" w:eastAsia="华文中宋" w:cs="华文中宋"/>
      <w:b/>
      <w:bCs/>
      <w:kern w:val="0"/>
      <w:sz w:val="36"/>
      <w:szCs w:val="36"/>
      <w:lang w:val="zh-CN" w:bidi="zh-CN"/>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utoSpaceDE w:val="0"/>
      <w:autoSpaceDN w:val="0"/>
      <w:ind w:left="520"/>
      <w:jc w:val="left"/>
    </w:pPr>
    <w:rPr>
      <w:rFonts w:ascii="Arial Unicode MS" w:hAnsi="Arial Unicode MS" w:eastAsia="Arial Unicode MS" w:cs="Arial Unicode MS"/>
      <w:kern w:val="0"/>
      <w:sz w:val="28"/>
      <w:szCs w:val="28"/>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paragraph" w:customStyle="1" w:styleId="8">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2023-03-01T09:28:00Z</dcterms:created>
  <dc:creator>古力杰克热·麦曼提依明</dc:creator>
  <cp:lastModifiedBy>古力杰克热·麦曼提依明</cp:lastModifiedBy>
  <cp:lastPrinted>2023-03-01T10:58:52Z</cp:lastPrinted>
  <dcterms:modified xsi:type="dcterms:W3CDTF">2023-03-01T10:59:54Z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