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ind w:firstLine="1760" w:firstLineChars="40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自治区教育系统消防安全专项整治三年行动统计表（一）</w:t>
      </w:r>
    </w:p>
    <w:p>
      <w:pPr>
        <w:spacing w:before="240" w:beforeLines="100" w:after="240" w:afterLines="100" w:line="56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填报地区：                  统计时间：2020年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日至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日   填报日期：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1421"/>
        <w:gridCol w:w="1422"/>
        <w:gridCol w:w="1422"/>
        <w:gridCol w:w="1422"/>
        <w:gridCol w:w="1422"/>
        <w:gridCol w:w="1422"/>
        <w:gridCol w:w="1422"/>
        <w:gridCol w:w="1422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地区</w:t>
            </w:r>
          </w:p>
        </w:tc>
        <w:tc>
          <w:tcPr>
            <w:tcW w:w="142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政府召开会议（次）</w:t>
            </w:r>
          </w:p>
        </w:tc>
        <w:tc>
          <w:tcPr>
            <w:tcW w:w="142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政府领导带队检查（人次）</w:t>
            </w:r>
          </w:p>
        </w:tc>
        <w:tc>
          <w:tcPr>
            <w:tcW w:w="426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重大火灾隐患（家）</w:t>
            </w:r>
          </w:p>
        </w:tc>
        <w:tc>
          <w:tcPr>
            <w:tcW w:w="142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约谈下级政府（次）</w:t>
            </w:r>
          </w:p>
        </w:tc>
        <w:tc>
          <w:tcPr>
            <w:tcW w:w="142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约谈行业部门（次）</w:t>
            </w:r>
          </w:p>
        </w:tc>
        <w:tc>
          <w:tcPr>
            <w:tcW w:w="142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建立长效机制（项）</w:t>
            </w:r>
          </w:p>
        </w:tc>
        <w:tc>
          <w:tcPr>
            <w:tcW w:w="142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2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2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排查确定</w:t>
            </w:r>
          </w:p>
        </w:tc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挂牌督办</w:t>
            </w:r>
          </w:p>
        </w:tc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整改销案</w:t>
            </w:r>
          </w:p>
        </w:tc>
        <w:tc>
          <w:tcPr>
            <w:tcW w:w="142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2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2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2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21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22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8" w:type="dxa"/>
            <w:gridSpan w:val="10"/>
            <w:shd w:val="clear" w:color="auto" w:fill="auto"/>
            <w:noWrap w:val="0"/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备注：本表用于各地州市填报，请于每月20日前报送，数据为自2020年5月至填报当日累计数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1760" w:firstLineChars="40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自治区教育系统消防安全专项整治三年行动统计表（二）</w:t>
      </w:r>
    </w:p>
    <w:p>
      <w:pPr>
        <w:spacing w:line="560" w:lineRule="exact"/>
        <w:ind w:firstLine="280" w:firstLine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填报部门：                  统计时间：2020年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日至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日              填报日期：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579"/>
        <w:gridCol w:w="1580"/>
        <w:gridCol w:w="1580"/>
        <w:gridCol w:w="1580"/>
        <w:gridCol w:w="1580"/>
        <w:gridCol w:w="1580"/>
        <w:gridCol w:w="1580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召开会议（次）</w:t>
            </w:r>
          </w:p>
        </w:tc>
        <w:tc>
          <w:tcPr>
            <w:tcW w:w="15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厅局领导带队检查（人次）</w:t>
            </w: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检查单位数量（个）</w:t>
            </w: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发现火灾隐患（处）</w:t>
            </w: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督改火灾隐患（处）</w:t>
            </w: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相关部门吊销证照（家）</w:t>
            </w: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约谈下级部门和行业单位（间）</w:t>
            </w: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行业系统投入整改资金（万）</w:t>
            </w: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建立消防安全标准（个）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57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eastAsia="仿宋"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18" w:type="dxa"/>
            <w:gridSpan w:val="9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hint="eastAsia" w:eastAsia="仿宋"/>
                <w:sz w:val="32"/>
                <w:szCs w:val="32"/>
              </w:rPr>
            </w:pPr>
            <w:r>
              <w:rPr>
                <w:rFonts w:hint="eastAsia" w:eastAsia="仿宋"/>
                <w:sz w:val="32"/>
                <w:szCs w:val="32"/>
              </w:rPr>
              <w:t>备注：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本表用于自治区各部门填报，请于每月20日前报送，数据为自2020年5月至填报当日累计数</w:t>
            </w:r>
          </w:p>
        </w:tc>
      </w:tr>
    </w:tbl>
    <w:p/>
    <w:sectPr>
      <w:pgSz w:w="16838" w:h="11906" w:orient="landscape"/>
      <w:pgMar w:top="1418" w:right="1418" w:bottom="1418" w:left="141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E6B17"/>
    <w:rsid w:val="07C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2020-06-09T11:37:00Z</dcterms:created>
  <dc:creator>高江江</dc:creator>
  <cp:lastModifiedBy>高江江</cp:lastModifiedBy>
  <dcterms:modified xsi:type="dcterms:W3CDTF">2020-06-09T11:37:51Z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