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cs="Times New Roman"/>
          <w:sz w:val="32"/>
          <w:szCs w:val="32"/>
        </w:rPr>
      </w:pPr>
      <w:bookmarkStart w:id="0" w:name="_GoBack"/>
      <w:bookmarkEnd w:id="0"/>
      <w:r>
        <w:rPr>
          <w:rFonts w:hint="eastAsia" w:ascii="黑体" w:hAnsi="宋体" w:eastAsia="黑体" w:cs="黑体"/>
          <w:kern w:val="0"/>
          <w:sz w:val="32"/>
          <w:szCs w:val="32"/>
          <w:lang w:bidi="ar"/>
        </w:rPr>
        <w:t>附件</w:t>
      </w:r>
      <w:r>
        <w:rPr>
          <w:rFonts w:ascii="方正小标宋简体" w:hAnsi="方正小标宋简体" w:eastAsia="方正小标宋简体" w:cs="方正小标宋简体"/>
          <w:kern w:val="0"/>
          <w:sz w:val="32"/>
          <w:szCs w:val="32"/>
          <w:lang w:bidi="ar"/>
        </w:rPr>
        <w:t>1</w:t>
      </w:r>
    </w:p>
    <w:p>
      <w:pPr>
        <w:spacing w:line="560" w:lineRule="exact"/>
        <w:rPr>
          <w:rFonts w:ascii="Times New Roman" w:hAnsi="Times New Roman" w:eastAsia="方正仿宋_GBK" w:cs="Times New Roman"/>
          <w:sz w:val="32"/>
          <w:szCs w:val="32"/>
        </w:rPr>
      </w:pPr>
    </w:p>
    <w:p>
      <w:pPr>
        <w:widowControl/>
        <w:spacing w:line="560" w:lineRule="exact"/>
        <w:jc w:val="center"/>
        <w:textAlignment w:val="center"/>
        <w:rPr>
          <w:rFonts w:hint="eastAsia" w:ascii="方正小标宋_GBK" w:hAnsi="宋体" w:eastAsia="方正小标宋_GBK" w:cs="宋体"/>
          <w:kern w:val="0"/>
          <w:sz w:val="44"/>
          <w:szCs w:val="44"/>
          <w:lang w:bidi="ar"/>
        </w:rPr>
      </w:pPr>
      <w:r>
        <w:rPr>
          <w:rFonts w:hint="eastAsia" w:ascii="方正小标宋_GBK" w:hAnsi="宋体" w:eastAsia="方正小标宋_GBK" w:cs="宋体"/>
          <w:kern w:val="0"/>
          <w:sz w:val="44"/>
          <w:szCs w:val="44"/>
          <w:lang w:bidi="ar"/>
        </w:rPr>
        <w:t>2019年度新增自治区产学研联合培养</w:t>
      </w:r>
    </w:p>
    <w:p>
      <w:pPr>
        <w:widowControl/>
        <w:spacing w:line="560" w:lineRule="exact"/>
        <w:jc w:val="center"/>
        <w:textAlignment w:val="center"/>
        <w:rPr>
          <w:rFonts w:ascii="Times New Roman" w:hAnsi="Times New Roman" w:eastAsia="方正仿宋_GBK" w:cs="Times New Roman"/>
          <w:sz w:val="32"/>
          <w:szCs w:val="32"/>
        </w:rPr>
      </w:pPr>
      <w:r>
        <w:rPr>
          <w:rFonts w:hint="eastAsia" w:ascii="方正小标宋_GBK" w:hAnsi="宋体" w:eastAsia="方正小标宋_GBK" w:cs="宋体"/>
          <w:kern w:val="0"/>
          <w:sz w:val="44"/>
          <w:szCs w:val="44"/>
          <w:lang w:bidi="ar"/>
        </w:rPr>
        <w:t>研究生示范基地名单</w:t>
      </w:r>
    </w:p>
    <w:p>
      <w:pPr>
        <w:spacing w:line="560" w:lineRule="exact"/>
        <w:rPr>
          <w:rFonts w:ascii="Times New Roman" w:hAnsi="Times New Roman" w:eastAsia="方正仿宋_GBK" w:cs="Times New Roman"/>
          <w:sz w:val="32"/>
          <w:szCs w:val="32"/>
        </w:rPr>
      </w:pPr>
    </w:p>
    <w:tbl>
      <w:tblPr>
        <w:tblStyle w:val="9"/>
        <w:tblW w:w="9789" w:type="dxa"/>
        <w:jc w:val="center"/>
        <w:tblInd w:w="-566" w:type="dxa"/>
        <w:tblLayout w:type="fixed"/>
        <w:tblCellMar>
          <w:top w:w="15" w:type="dxa"/>
          <w:left w:w="15" w:type="dxa"/>
          <w:bottom w:w="15" w:type="dxa"/>
          <w:right w:w="15" w:type="dxa"/>
        </w:tblCellMar>
      </w:tblPr>
      <w:tblGrid>
        <w:gridCol w:w="567"/>
        <w:gridCol w:w="1701"/>
        <w:gridCol w:w="3061"/>
        <w:gridCol w:w="1960"/>
        <w:gridCol w:w="2500"/>
      </w:tblGrid>
      <w:tr>
        <w:tblPrEx>
          <w:tblLayout w:type="fixed"/>
          <w:tblCellMar>
            <w:top w:w="15" w:type="dxa"/>
            <w:left w:w="15" w:type="dxa"/>
            <w:bottom w:w="15" w:type="dxa"/>
            <w:right w:w="15" w:type="dxa"/>
          </w:tblCellMar>
        </w:tblPrEx>
        <w:trPr>
          <w:trHeight w:val="312"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牵头高校</w:t>
            </w:r>
          </w:p>
        </w:tc>
        <w:tc>
          <w:tcPr>
            <w:tcW w:w="3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联合培养单位</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基地所在地</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一级学科名称</w:t>
            </w:r>
          </w:p>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（学科领域）</w:t>
            </w:r>
          </w:p>
        </w:tc>
      </w:tr>
      <w:tr>
        <w:tblPrEx>
          <w:tblLayout w:type="fixed"/>
          <w:tblCellMar>
            <w:top w:w="15" w:type="dxa"/>
            <w:left w:w="15" w:type="dxa"/>
            <w:bottom w:w="15" w:type="dxa"/>
            <w:right w:w="15" w:type="dxa"/>
          </w:tblCellMar>
        </w:tblPrEx>
        <w:trPr>
          <w:trHeight w:val="312"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4"/>
                <w:szCs w:val="24"/>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4"/>
                <w:szCs w:val="24"/>
              </w:rPr>
            </w:pPr>
          </w:p>
        </w:tc>
        <w:tc>
          <w:tcPr>
            <w:tcW w:w="3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4"/>
                <w:szCs w:val="24"/>
              </w:rPr>
            </w:p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sz w:val="24"/>
                <w:szCs w:val="24"/>
              </w:rPr>
            </w:pP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华为技术有限公司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计算机科学与技术（网络空间安全）</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中国电信股份有限公司新疆分公司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计算机科学与技术（网络空间安全）</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伊犁川宁生物技术有限公司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伊宁市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化学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 xml:space="preserve">中石化西北油田分公司石油工程技术研究院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化学工程与技术</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新疆农业科学院农产品贮藏加工研究所</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应用化学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新疆金牛能源物联网科技股份有限公司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克拉玛依市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机械工程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新疆维吾尔自治区特种设备检验研究院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乌鲁木齐市高新区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机械工程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国网新疆电力有限公司乌鲁木齐供电公司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电气工程，工商管理、理论经济学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新疆华讯科技开发有限公司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乌鲁木齐市经济技术开发区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控制科学与工程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中船重工海为（新疆）新能源有限公司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乌鲁木齐达坂城</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控制科学与工程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光正集团股份有限公司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乌鲁木齐经济技术开发区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工商管理、理论经济学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北京金风慧能技术有限公司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统计学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安琪酵母（伊犁）有限公司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伊宁市经济开发区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生物学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新疆旺源生物科技集团有限公司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阿勒泰福海县</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生物学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新疆药物研究所</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食品科学与工程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新疆林科院森林生态研究所</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乌鲁木齐县</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生态学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新疆林业科学院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生态学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新疆中科传感有限责任公司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材料科学与工程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中国科学院新疆天文台</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物理学(天体物理)</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新疆维吾尔自治区卫星应用中心</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地理学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 xml:space="preserve">新疆维吾尔自治区草原总站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地理学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中国科学院新疆生态与地理研究所</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乌鲁木齐高新区</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地理学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新疆维吾尔自治区建筑设计研究院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建筑学、土木工程、建筑与土木工程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中建新疆建工（集团）有限公司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土木工程、建筑与土木工程、工程管理</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新疆北新建材工业集团有限公司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土木工程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中通服公众信息产业股份有限公司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软件工程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阿克苏华孚色纺有限公司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阿克苏市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纺织科学与工程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神华新疆能源有限责任公司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生态学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新疆生产建设兵团中国青年旅行社（有限公司）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工商管理</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新疆农六师铝业有限公司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五家渠市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材料工程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新疆生产建设兵团第八师天山铝业股份有限公司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材料工程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新疆天龙矿业股份有限公司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昌吉州阜康市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材料工程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新疆雪峰科技股份有限公司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材料工程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中国人民银行石河子中心支行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应用经济学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新疆阿拉山口出入境检验检疫局技术中心/国家级石油化工矿产重点实验室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阿拉山口</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化学工程与技术</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特变电工股份有限公司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昌吉市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工商管理</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沃达农业科技股份有限公司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　石河子市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农业资源与环境</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新疆维吾尔自治区药物研究所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　</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药学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昭苏县西域马业有限责任公司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伊犁昭苏县</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畜牧学、养殖</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新疆天山畜牧生物工程股份有限公司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昌吉市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畜牧学、养殖</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中国农业科学院哈尔滨兽医研究所</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黑龙江哈尔滨市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兽医学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新疆新研牧神科技有限公司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农业工程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新疆交通建设集团股份有限公司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交通运输工程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新疆张裕巴保男爵酒庄有限公司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食品科学与工程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乌鲁木齐市中医医院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中医学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新疆维吾尔自治区胸科医院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临床医学、公共卫生与预防医学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克拉玛依市中心医院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克拉玛依市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临床医学、口腔医学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新疆维吾尔自治区疾病预防控制中心</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公共卫生与预防医学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新疆维吾尔自治区妇幼保健院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公共卫生与预防医学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新疆昌吉回族自治州疾病预防控制中心</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昌吉市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公共卫生与预防医学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新疆金世康药业有限公司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中医/中药学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新疆维吾尔自治区药物研究所</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中药学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新疆师范大学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中国科学院新疆理化技术研究所</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化学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新疆旅游投资管理有限公司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工商管理</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天山网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新闻传播学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新疆联海创智信息</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工商管理</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新疆银狐数据科技有限公司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工商管理</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中国电信股份有限公司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工商管理</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乌鲁木齐市统计局</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统计学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新疆艺术学院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新疆兵团电视台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乌鲁木齐市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广播电视</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塔里木大学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新疆农垦科学院机械装备研究所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石河子市　</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农业工程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喀什大学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新疆玉昆仑天然食品有限公司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喀什市岳普湖县</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生物工程</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伊犁师范大学</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新疆晶科能源有限公司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伊犁新源县</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物理学</w:t>
            </w:r>
          </w:p>
        </w:tc>
      </w:tr>
      <w:tr>
        <w:tblPrEx>
          <w:tblLayout w:type="fixed"/>
          <w:tblCellMar>
            <w:top w:w="15" w:type="dxa"/>
            <w:left w:w="15" w:type="dxa"/>
            <w:bottom w:w="15" w:type="dxa"/>
            <w:right w:w="15" w:type="dxa"/>
          </w:tblCellMar>
        </w:tblPrEx>
        <w:trPr>
          <w:trHeight w:val="636"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伊犁师范大学　</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伊犁出入境检验检疫局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新疆伊宁市</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化学、化学工程</w:t>
            </w:r>
          </w:p>
        </w:tc>
      </w:tr>
    </w:tbl>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hint="eastAsia" w:ascii="黑体" w:hAnsi="宋体" w:eastAsia="黑体" w:cs="黑体"/>
          <w:kern w:val="0"/>
          <w:sz w:val="32"/>
          <w:szCs w:val="32"/>
          <w:lang w:bidi="ar"/>
        </w:rPr>
        <w:t>附件2</w:t>
      </w:r>
    </w:p>
    <w:p>
      <w:pPr>
        <w:spacing w:line="560" w:lineRule="exact"/>
        <w:rPr>
          <w:rFonts w:ascii="Times New Roman" w:hAnsi="Times New Roman" w:eastAsia="方正仿宋_GBK" w:cs="Times New Roman"/>
          <w:sz w:val="32"/>
          <w:szCs w:val="32"/>
        </w:rPr>
      </w:pPr>
    </w:p>
    <w:p>
      <w:pPr>
        <w:spacing w:line="560" w:lineRule="exact"/>
        <w:jc w:val="center"/>
        <w:rPr>
          <w:rFonts w:hint="eastAsia" w:ascii="方正小标宋_GBK" w:hAnsi="Times New Roman" w:eastAsia="方正小标宋_GBK" w:cs="Times New Roman"/>
          <w:sz w:val="44"/>
          <w:szCs w:val="44"/>
        </w:rPr>
      </w:pPr>
      <w:r>
        <w:rPr>
          <w:rFonts w:hint="eastAsia" w:ascii="方正小标宋_GBK" w:hAnsi="宋体" w:eastAsia="方正小标宋_GBK" w:cs="宋体"/>
          <w:kern w:val="0"/>
          <w:sz w:val="44"/>
          <w:szCs w:val="44"/>
          <w:lang w:bidi="ar"/>
        </w:rPr>
        <w:t>2019年自治区研究生教育教学改革立项名单</w:t>
      </w:r>
    </w:p>
    <w:tbl>
      <w:tblPr>
        <w:tblStyle w:val="9"/>
        <w:tblW w:w="10262" w:type="dxa"/>
        <w:jc w:val="center"/>
        <w:tblInd w:w="-1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7"/>
        <w:gridCol w:w="1702"/>
        <w:gridCol w:w="1559"/>
        <w:gridCol w:w="4010"/>
        <w:gridCol w:w="810"/>
        <w:gridCol w:w="81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jc w:val="center"/>
        </w:trPr>
        <w:tc>
          <w:tcPr>
            <w:tcW w:w="567" w:type="dxa"/>
            <w:vMerge w:val="restart"/>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1702" w:type="dxa"/>
            <w:vMerge w:val="restart"/>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单位</w:t>
            </w:r>
          </w:p>
        </w:tc>
        <w:tc>
          <w:tcPr>
            <w:tcW w:w="1559" w:type="dxa"/>
            <w:vMerge w:val="restart"/>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项目编号</w:t>
            </w:r>
          </w:p>
        </w:tc>
        <w:tc>
          <w:tcPr>
            <w:tcW w:w="4010" w:type="dxa"/>
            <w:vMerge w:val="restart"/>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项目名称</w:t>
            </w:r>
          </w:p>
        </w:tc>
        <w:tc>
          <w:tcPr>
            <w:tcW w:w="810" w:type="dxa"/>
            <w:vMerge w:val="restart"/>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项目</w:t>
            </w:r>
            <w:r>
              <w:rPr>
                <w:rFonts w:hint="eastAsia" w:ascii="宋体" w:hAnsi="宋体" w:eastAsia="宋体" w:cs="宋体"/>
                <w:b/>
                <w:kern w:val="0"/>
                <w:sz w:val="24"/>
                <w:szCs w:val="24"/>
                <w:lang w:bidi="ar"/>
              </w:rPr>
              <w:br w:type="textWrapping"/>
            </w:r>
            <w:r>
              <w:rPr>
                <w:rFonts w:hint="eastAsia" w:ascii="宋体" w:hAnsi="宋体" w:eastAsia="宋体" w:cs="宋体"/>
                <w:b/>
                <w:kern w:val="0"/>
                <w:sz w:val="24"/>
                <w:szCs w:val="24"/>
                <w:lang w:bidi="ar"/>
              </w:rPr>
              <w:t>负责人</w:t>
            </w:r>
          </w:p>
        </w:tc>
        <w:tc>
          <w:tcPr>
            <w:tcW w:w="1614" w:type="dxa"/>
            <w:gridSpan w:val="2"/>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资助计划</w:t>
            </w:r>
          </w:p>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3" w:hRule="atLeast"/>
          <w:jc w:val="center"/>
        </w:trPr>
        <w:tc>
          <w:tcPr>
            <w:tcW w:w="567" w:type="dxa"/>
            <w:vMerge w:val="continue"/>
            <w:tcBorders>
              <w:top w:val="single" w:color="auto" w:sz="4" w:space="0"/>
            </w:tcBorders>
            <w:shd w:val="clear" w:color="auto" w:fill="auto"/>
            <w:vAlign w:val="center"/>
          </w:tcPr>
          <w:p>
            <w:pPr>
              <w:jc w:val="center"/>
              <w:rPr>
                <w:rFonts w:ascii="宋体" w:hAnsi="宋体" w:eastAsia="宋体" w:cs="宋体"/>
                <w:b/>
                <w:sz w:val="24"/>
                <w:szCs w:val="24"/>
              </w:rPr>
            </w:pPr>
          </w:p>
        </w:tc>
        <w:tc>
          <w:tcPr>
            <w:tcW w:w="1702" w:type="dxa"/>
            <w:vMerge w:val="continue"/>
            <w:tcBorders>
              <w:top w:val="single" w:color="auto" w:sz="4" w:space="0"/>
            </w:tcBorders>
            <w:shd w:val="clear" w:color="auto" w:fill="auto"/>
            <w:vAlign w:val="center"/>
          </w:tcPr>
          <w:p>
            <w:pPr>
              <w:jc w:val="center"/>
              <w:rPr>
                <w:rFonts w:ascii="宋体" w:hAnsi="宋体" w:eastAsia="宋体" w:cs="宋体"/>
                <w:b/>
                <w:sz w:val="24"/>
                <w:szCs w:val="24"/>
              </w:rPr>
            </w:pPr>
          </w:p>
        </w:tc>
        <w:tc>
          <w:tcPr>
            <w:tcW w:w="1559" w:type="dxa"/>
            <w:vMerge w:val="continue"/>
            <w:tcBorders>
              <w:top w:val="single" w:color="auto" w:sz="4" w:space="0"/>
            </w:tcBorders>
            <w:shd w:val="clear" w:color="auto" w:fill="auto"/>
            <w:vAlign w:val="center"/>
          </w:tcPr>
          <w:p>
            <w:pPr>
              <w:jc w:val="center"/>
              <w:rPr>
                <w:rFonts w:ascii="宋体" w:hAnsi="宋体" w:eastAsia="宋体" w:cs="宋体"/>
                <w:b/>
                <w:sz w:val="24"/>
                <w:szCs w:val="24"/>
              </w:rPr>
            </w:pPr>
          </w:p>
        </w:tc>
        <w:tc>
          <w:tcPr>
            <w:tcW w:w="4010" w:type="dxa"/>
            <w:vMerge w:val="continue"/>
            <w:tcBorders>
              <w:top w:val="single" w:color="auto" w:sz="4" w:space="0"/>
            </w:tcBorders>
            <w:shd w:val="clear" w:color="auto" w:fill="auto"/>
            <w:vAlign w:val="center"/>
          </w:tcPr>
          <w:p>
            <w:pPr>
              <w:jc w:val="center"/>
              <w:rPr>
                <w:rFonts w:ascii="宋体" w:hAnsi="宋体" w:eastAsia="宋体" w:cs="宋体"/>
                <w:b/>
                <w:sz w:val="24"/>
                <w:szCs w:val="24"/>
              </w:rPr>
            </w:pPr>
          </w:p>
        </w:tc>
        <w:tc>
          <w:tcPr>
            <w:tcW w:w="810" w:type="dxa"/>
            <w:vMerge w:val="continue"/>
            <w:tcBorders>
              <w:top w:val="single" w:color="auto" w:sz="4" w:space="0"/>
            </w:tcBorders>
            <w:shd w:val="clear" w:color="auto" w:fill="auto"/>
            <w:vAlign w:val="center"/>
          </w:tcPr>
          <w:p>
            <w:pPr>
              <w:jc w:val="center"/>
              <w:rPr>
                <w:rFonts w:ascii="宋体" w:hAnsi="宋体" w:eastAsia="宋体" w:cs="宋体"/>
                <w:b/>
                <w:sz w:val="24"/>
                <w:szCs w:val="24"/>
              </w:rPr>
            </w:pPr>
          </w:p>
        </w:tc>
        <w:tc>
          <w:tcPr>
            <w:tcW w:w="810" w:type="dxa"/>
            <w:tcBorders>
              <w:top w:val="single" w:color="auto"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2019年</w:t>
            </w:r>
          </w:p>
        </w:tc>
        <w:tc>
          <w:tcPr>
            <w:tcW w:w="804" w:type="dxa"/>
            <w:tcBorders>
              <w:top w:val="single" w:color="auto"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XJ2019GY01</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高水平科学研究促进高校研究生培养的探究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曹亚丽</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XJ2019GY02</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“双一流”建设中依托产学研基地服务新疆软件产业的软件工程硕士培养探索与实践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田生伟</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XJ2019GY03</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“新工科”背景下机械工程专业学位研究生工程素质培养模式探索与实践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周建平</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XJ2019GY04</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完善研究生教育质量监督体系建设措施和策略</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于炯</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XJ2019GY05</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能源革命背景下电气工程专业学位研究生培养模式研究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樊艳芳</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XJ2019GY06</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意识形态教育与学科发展双融合的研究生培养方法探究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王海云</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7</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XJ2019GY07</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“双一流”建设背景下生态学专业研究生人才培养体系改革与创新</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吕光辉</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8</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XJ2019GY08</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法律硕士研究生协同育人教育模式研究与实践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李军</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9</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XJ2019GY09</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新闻与传播硕士专业学位研究生《新媒体传播案例库》建设</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金玉萍</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XJ2019GY10</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基于职业能力导向的纺织工程专业硕士人才培养模式的改革与探索</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夏鑫</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11</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XJ2019GY11</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研究生培养校际、区域协作研究与实践——以新疆大学为例</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金蕊</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XJ2019GY12</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非全日制研究生多元型培养模式研究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毛甜</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13</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XJ2019GY13</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食品工程专业学位研究生培养中案例教学库的建设与应用</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王亮</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XJ2019GY14</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新疆大学全日制“地质工程”专业学位研究生培养模式改革与创新</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张紫昭</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XJ2019GY15</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旅游管理硕士《现代数量方法》教学案例库建设研究与实践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普拉提•莫合塔尔</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XJ2019GY16</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向南发展视角下专业学位研究生人才培养模式改革与实践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张亚平</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17</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XJ2019GY17</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以质量提升为抓手，构建专业学位教育硕士创新实践教学体系</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杨淑萍</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18</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XJ2019GY18</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立足兵团向南发展、服务南疆基础教育的石河子大学小学教育专业学位硕士研究生实践教学体系建构</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刘超</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XJ2019GY19</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从共享到共生：基于学习资源的现代教育技术专业硕士知识构建转型研究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高攀</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XJ2019GY20</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物理学学术研究生创新能力培养模式的构建</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候娟</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21</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XJ2019GY21</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工程类硕士研究生实践能力联合培养机制优化研究—以农业工程为例</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李俊峰</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22</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XJ2019GY22</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基于网络的PBL教学模式在研究生临床医学教育中的实践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李军</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23</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XJ2019GY23</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PBL结合案例教学法在临床专业学位硕士带教中的探索和实践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李江</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24</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XJ2019GY24</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“开放型、实践型、研究型”三位一体工商管理研究生培养模式优化研究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杨兴全</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25</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石河子大学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XJ2019GY25</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新疆经管类研究生创新能力培养模式改革研究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刘追</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26</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XJ2019GY26</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水利工程专业学位研究生培养体系建设研究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郭海庆</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27</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XJ2019GY27</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“4+2”高级执业兽医人才培养模式研究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王金泉</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28</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XJ2019GY28</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基于提高实践能力培养模式下专业硕士研究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孙宗玖</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29</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XJ2019GY29</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基于微信公众平台的《害虫综合治理》案例库信息化技术</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李超</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30</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新疆农业大学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XJ2019GY30</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高级财务管理理论与实务课程案例库--基于新疆企业的调研</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丁丽萍</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31</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XJ2019GY31</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新疆中医学专业学位硕士研究生规范化培训并轨培养的问题与对策研究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曾斌芳</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0.3</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32</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XJ2019GY32</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医教协同背景下临床医学硕士专业学位研究生的培养质量研究----以新疆医科大学为例</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郝婷</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33</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XJ2019GY33</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新疆公共卫生医师岗位胜任力模型构建与人才培养模式改革</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李榕</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34</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XJ2019GY34</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基于OBE理念下建设“双一流”高校的医学研究生培养模式初探</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夏迪亚·夏尔甫丁</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35</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XJ2019GY35</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护理硕士专业学位教学案例库建设与成效评价</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颜萍</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36</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XJ2019GY36</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新疆启动“5+3+X”临床医学人才培养模式改革的初步探索与实践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姚萱</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37</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XJ2019GY37</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“精准医疗”时代MDT导师组制度在肿瘤学研究生培养中的应用</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赵兵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38</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新疆医科大学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XJ2019GY38</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导师支持行为对口腔专业硕士研究生健康培养作用的探索</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赵今</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39</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XJ2019GY39</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立德树人视角下研究生思想政治教育工作改革与创新研究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陈维青</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1.5</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40</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XJ2019GY40</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新时代国际贸易学专业硕士研究生人才培养体系改革与实践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柴利</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1.5</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41</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XJ2019GY41</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基于地方需求的新疆高校旅游管理专硕应用型人才培养模式研究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李东</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1.5</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42</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XJ2019GY42</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“中国特色社会主义理论与实践研究”课程建设</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吴洁</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1.9</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43</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XJ2019GY43</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跨学科研究生培养模式改革研究—以技术经济及管理专业为例</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郭文强</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1.5</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44</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XJ2019GY44</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“三位一体”实践模式培养“新时代”新闻人才</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焦若薇</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1.5</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45</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新疆财经大学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XJ2019GY45</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新疆高校法学硕士研究生培养与案例库建设研究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赵俐</w:t>
            </w:r>
          </w:p>
        </w:tc>
        <w:tc>
          <w:tcPr>
            <w:tcW w:w="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lang w:bidi="ar"/>
              </w:rPr>
              <w:t>2</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46</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新疆师范大学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XJ2019GY46</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部编本小学语文教材案例资源建设与运用</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韩光明</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47</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新疆师范大学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XJ2019GY47</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产学研驱动下理工科研究生协同创新培养模式研究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王林香</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48</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新疆师范大学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XJ2019GY48</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基于专业硕士教学技能大赛的“目标递进”教学模式实践研究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张冬波</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49</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塔里木大学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XJ2019GY49</w:t>
            </w:r>
          </w:p>
        </w:tc>
        <w:tc>
          <w:tcPr>
            <w:tcW w:w="4010" w:type="dxa"/>
            <w:tcBorders>
              <w:tl2br w:val="nil"/>
              <w:tr2bl w:val="nil"/>
            </w:tcBorders>
            <w:shd w:val="clear" w:color="auto" w:fill="auto"/>
            <w:vAlign w:val="center"/>
          </w:tcPr>
          <w:p>
            <w:pPr>
              <w:widowControl/>
              <w:jc w:val="left"/>
              <w:textAlignment w:val="center"/>
              <w:rPr>
                <w:rFonts w:ascii="仿宋体" w:hAnsi="仿宋体" w:eastAsia="宋体" w:cs="仿宋体"/>
                <w:sz w:val="24"/>
                <w:szCs w:val="24"/>
              </w:rPr>
            </w:pPr>
            <w:r>
              <w:rPr>
                <w:rFonts w:ascii="仿宋体" w:hAnsi="仿宋体" w:eastAsia="宋体" w:cs="仿宋体"/>
                <w:kern w:val="0"/>
                <w:sz w:val="24"/>
                <w:szCs w:val="24"/>
                <w:lang w:bidi="ar"/>
              </w:rPr>
              <w:t>塔里木大学研究生德育工作机制下导师立德树人工作模式创新研究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边梅娜</w:t>
            </w:r>
            <w:r>
              <w:rPr>
                <w:rFonts w:ascii="Calibri" w:hAnsi="Calibri" w:eastAsia="宋体" w:cs="Calibri"/>
                <w:kern w:val="0"/>
                <w:sz w:val="24"/>
                <w:szCs w:val="24"/>
                <w:lang w:bidi="ar"/>
              </w:rPr>
              <w:t xml:space="preserve">  </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50</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塔里木大学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XJ2019GY50</w:t>
            </w:r>
          </w:p>
        </w:tc>
        <w:tc>
          <w:tcPr>
            <w:tcW w:w="4010" w:type="dxa"/>
            <w:tcBorders>
              <w:tl2br w:val="nil"/>
              <w:tr2bl w:val="nil"/>
            </w:tcBorders>
            <w:shd w:val="clear" w:color="auto" w:fill="auto"/>
            <w:vAlign w:val="center"/>
          </w:tcPr>
          <w:p>
            <w:pPr>
              <w:widowControl/>
              <w:jc w:val="left"/>
              <w:textAlignment w:val="center"/>
              <w:rPr>
                <w:rFonts w:ascii="仿宋体" w:hAnsi="仿宋体" w:eastAsia="宋体" w:cs="仿宋体"/>
                <w:sz w:val="24"/>
                <w:szCs w:val="24"/>
              </w:rPr>
            </w:pPr>
            <w:r>
              <w:rPr>
                <w:rFonts w:ascii="仿宋体" w:hAnsi="仿宋体" w:eastAsia="宋体" w:cs="仿宋体"/>
                <w:kern w:val="0"/>
                <w:sz w:val="24"/>
                <w:szCs w:val="24"/>
                <w:lang w:bidi="ar"/>
              </w:rPr>
              <w:t>基于核心竞争力理论的高校重点学科建设研究</w:t>
            </w:r>
          </w:p>
        </w:tc>
        <w:tc>
          <w:tcPr>
            <w:tcW w:w="810" w:type="dxa"/>
            <w:tcBorders>
              <w:tl2br w:val="nil"/>
              <w:tr2bl w:val="nil"/>
            </w:tcBorders>
            <w:shd w:val="clear" w:color="auto" w:fill="auto"/>
            <w:vAlign w:val="center"/>
          </w:tcPr>
          <w:p>
            <w:pPr>
              <w:widowControl/>
              <w:jc w:val="center"/>
              <w:textAlignment w:val="center"/>
              <w:rPr>
                <w:rFonts w:ascii="仿宋体" w:hAnsi="仿宋体" w:eastAsia="宋体" w:cs="仿宋体"/>
                <w:sz w:val="24"/>
                <w:szCs w:val="24"/>
              </w:rPr>
            </w:pPr>
            <w:r>
              <w:rPr>
                <w:rFonts w:ascii="仿宋体" w:hAnsi="仿宋体" w:eastAsia="宋体" w:cs="仿宋体"/>
                <w:kern w:val="0"/>
                <w:sz w:val="24"/>
                <w:szCs w:val="24"/>
                <w:lang w:bidi="ar"/>
              </w:rPr>
              <w:t>陈国栋</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51</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塔里木大学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XJ2019GY51</w:t>
            </w:r>
          </w:p>
        </w:tc>
        <w:tc>
          <w:tcPr>
            <w:tcW w:w="4010" w:type="dxa"/>
            <w:tcBorders>
              <w:tl2br w:val="nil"/>
              <w:tr2bl w:val="nil"/>
            </w:tcBorders>
            <w:shd w:val="clear" w:color="auto" w:fill="auto"/>
            <w:vAlign w:val="center"/>
          </w:tcPr>
          <w:p>
            <w:pPr>
              <w:widowControl/>
              <w:jc w:val="left"/>
              <w:textAlignment w:val="center"/>
              <w:rPr>
                <w:rFonts w:ascii="仿宋体" w:hAnsi="仿宋体" w:eastAsia="宋体" w:cs="仿宋体"/>
                <w:sz w:val="24"/>
                <w:szCs w:val="24"/>
              </w:rPr>
            </w:pPr>
            <w:r>
              <w:rPr>
                <w:rFonts w:ascii="仿宋体" w:hAnsi="仿宋体" w:eastAsia="宋体" w:cs="仿宋体"/>
                <w:kern w:val="0"/>
                <w:sz w:val="24"/>
                <w:szCs w:val="24"/>
                <w:lang w:bidi="ar"/>
              </w:rPr>
              <w:t>基于兵团向南发展需求下高校专业学位研究生培养模式的研究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孟婷婷</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52</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塔里木大学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XJ2019GY52</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兵团“向南发展”战略下塔里木大学畜牧学科研究生培养质量保障体系研究</w:t>
            </w:r>
          </w:p>
        </w:tc>
        <w:tc>
          <w:tcPr>
            <w:tcW w:w="810" w:type="dxa"/>
            <w:tcBorders>
              <w:tl2br w:val="nil"/>
              <w:tr2bl w:val="nil"/>
            </w:tcBorders>
            <w:shd w:val="clear" w:color="auto" w:fill="auto"/>
            <w:vAlign w:val="center"/>
          </w:tcPr>
          <w:p>
            <w:pPr>
              <w:widowControl/>
              <w:jc w:val="center"/>
              <w:textAlignment w:val="center"/>
              <w:rPr>
                <w:rFonts w:ascii="仿宋体" w:hAnsi="仿宋体" w:eastAsia="宋体" w:cs="仿宋体"/>
                <w:sz w:val="24"/>
                <w:szCs w:val="24"/>
              </w:rPr>
            </w:pPr>
            <w:r>
              <w:rPr>
                <w:rFonts w:ascii="仿宋体" w:hAnsi="仿宋体" w:eastAsia="宋体" w:cs="仿宋体"/>
                <w:kern w:val="0"/>
                <w:sz w:val="24"/>
                <w:szCs w:val="24"/>
                <w:lang w:bidi="ar"/>
              </w:rPr>
              <w:t>钱文熙</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53</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塔里木大学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XJ2019GY53</w:t>
            </w:r>
          </w:p>
        </w:tc>
        <w:tc>
          <w:tcPr>
            <w:tcW w:w="4010" w:type="dxa"/>
            <w:tcBorders>
              <w:tl2br w:val="nil"/>
              <w:tr2bl w:val="nil"/>
            </w:tcBorders>
            <w:shd w:val="clear" w:color="auto" w:fill="auto"/>
            <w:vAlign w:val="center"/>
          </w:tcPr>
          <w:p>
            <w:pPr>
              <w:widowControl/>
              <w:jc w:val="left"/>
              <w:textAlignment w:val="center"/>
              <w:rPr>
                <w:rFonts w:ascii="仿宋体" w:hAnsi="仿宋体" w:eastAsia="宋体" w:cs="仿宋体"/>
                <w:sz w:val="24"/>
                <w:szCs w:val="24"/>
              </w:rPr>
            </w:pPr>
            <w:r>
              <w:rPr>
                <w:rFonts w:ascii="仿宋体" w:hAnsi="仿宋体" w:eastAsia="宋体" w:cs="仿宋体"/>
                <w:kern w:val="0"/>
                <w:sz w:val="24"/>
                <w:szCs w:val="24"/>
                <w:lang w:bidi="ar"/>
              </w:rPr>
              <w:t>微生物学导师团队协同育人模式的构建</w:t>
            </w:r>
          </w:p>
        </w:tc>
        <w:tc>
          <w:tcPr>
            <w:tcW w:w="810" w:type="dxa"/>
            <w:tcBorders>
              <w:tl2br w:val="nil"/>
              <w:tr2bl w:val="nil"/>
            </w:tcBorders>
            <w:shd w:val="clear" w:color="auto" w:fill="auto"/>
            <w:vAlign w:val="center"/>
          </w:tcPr>
          <w:p>
            <w:pPr>
              <w:widowControl/>
              <w:jc w:val="center"/>
              <w:textAlignment w:val="center"/>
              <w:rPr>
                <w:rFonts w:ascii="仿宋体" w:hAnsi="仿宋体" w:eastAsia="宋体" w:cs="仿宋体"/>
                <w:sz w:val="24"/>
                <w:szCs w:val="24"/>
              </w:rPr>
            </w:pPr>
            <w:r>
              <w:rPr>
                <w:rFonts w:ascii="仿宋体" w:hAnsi="仿宋体" w:eastAsia="宋体" w:cs="仿宋体"/>
                <w:kern w:val="0"/>
                <w:sz w:val="24"/>
                <w:szCs w:val="24"/>
                <w:lang w:bidi="ar"/>
              </w:rPr>
              <w:t>万传星</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54</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塔里木大学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XJ2019GY54</w:t>
            </w:r>
          </w:p>
        </w:tc>
        <w:tc>
          <w:tcPr>
            <w:tcW w:w="4010" w:type="dxa"/>
            <w:tcBorders>
              <w:tl2br w:val="nil"/>
              <w:tr2bl w:val="nil"/>
            </w:tcBorders>
            <w:shd w:val="clear" w:color="auto" w:fill="auto"/>
            <w:vAlign w:val="center"/>
          </w:tcPr>
          <w:p>
            <w:pPr>
              <w:widowControl/>
              <w:jc w:val="left"/>
              <w:textAlignment w:val="center"/>
              <w:rPr>
                <w:rFonts w:ascii="仿宋体" w:hAnsi="仿宋体" w:eastAsia="宋体" w:cs="仿宋体"/>
                <w:sz w:val="24"/>
                <w:szCs w:val="24"/>
              </w:rPr>
            </w:pPr>
            <w:r>
              <w:rPr>
                <w:rFonts w:ascii="仿宋体" w:hAnsi="仿宋体" w:eastAsia="宋体" w:cs="仿宋体"/>
                <w:kern w:val="0"/>
                <w:sz w:val="24"/>
                <w:szCs w:val="24"/>
                <w:lang w:bidi="ar"/>
              </w:rPr>
              <w:t>新工科背景下研究生教学管理改革创新研究</w:t>
            </w:r>
          </w:p>
        </w:tc>
        <w:tc>
          <w:tcPr>
            <w:tcW w:w="810" w:type="dxa"/>
            <w:tcBorders>
              <w:tl2br w:val="nil"/>
              <w:tr2bl w:val="nil"/>
            </w:tcBorders>
            <w:shd w:val="clear" w:color="auto" w:fill="auto"/>
            <w:vAlign w:val="center"/>
          </w:tcPr>
          <w:p>
            <w:pPr>
              <w:widowControl/>
              <w:jc w:val="center"/>
              <w:textAlignment w:val="center"/>
              <w:rPr>
                <w:rFonts w:ascii="仿宋体" w:hAnsi="仿宋体" w:eastAsia="宋体" w:cs="仿宋体"/>
                <w:sz w:val="24"/>
                <w:szCs w:val="24"/>
              </w:rPr>
            </w:pPr>
            <w:r>
              <w:rPr>
                <w:rFonts w:ascii="仿宋体" w:hAnsi="仿宋体" w:eastAsia="宋体" w:cs="仿宋体"/>
                <w:kern w:val="0"/>
                <w:sz w:val="24"/>
                <w:szCs w:val="24"/>
                <w:lang w:bidi="ar"/>
              </w:rPr>
              <w:t>汪慧</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6"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55</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塔里木大学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XJ2019GY55</w:t>
            </w:r>
          </w:p>
        </w:tc>
        <w:tc>
          <w:tcPr>
            <w:tcW w:w="4010" w:type="dxa"/>
            <w:tcBorders>
              <w:tl2br w:val="nil"/>
              <w:tr2bl w:val="nil"/>
            </w:tcBorders>
            <w:shd w:val="clear" w:color="auto" w:fill="auto"/>
            <w:vAlign w:val="center"/>
          </w:tcPr>
          <w:p>
            <w:pPr>
              <w:widowControl/>
              <w:jc w:val="left"/>
              <w:textAlignment w:val="center"/>
              <w:rPr>
                <w:rFonts w:ascii="仿宋体" w:hAnsi="仿宋体" w:eastAsia="宋体" w:cs="仿宋体"/>
                <w:sz w:val="24"/>
                <w:szCs w:val="24"/>
              </w:rPr>
            </w:pPr>
            <w:r>
              <w:rPr>
                <w:rFonts w:ascii="仿宋体" w:hAnsi="仿宋体" w:eastAsia="宋体" w:cs="仿宋体"/>
                <w:kern w:val="0"/>
                <w:sz w:val="24"/>
                <w:szCs w:val="24"/>
                <w:lang w:bidi="ar"/>
              </w:rPr>
              <w:t>基于“</w:t>
            </w:r>
            <w:r>
              <w:rPr>
                <w:rFonts w:hint="eastAsia" w:ascii="宋体" w:hAnsi="宋体" w:eastAsia="宋体" w:cs="宋体"/>
                <w:kern w:val="0"/>
                <w:sz w:val="24"/>
                <w:szCs w:val="24"/>
                <w:lang w:bidi="ar"/>
              </w:rPr>
              <w:t>问题导向</w:t>
            </w:r>
            <w:r>
              <w:rPr>
                <w:rFonts w:ascii="仿宋体" w:hAnsi="仿宋体" w:eastAsia="宋体" w:cs="仿宋体"/>
                <w:kern w:val="0"/>
                <w:sz w:val="24"/>
                <w:szCs w:val="24"/>
                <w:lang w:bidi="ar"/>
              </w:rPr>
              <w:t>”</w:t>
            </w:r>
            <w:r>
              <w:rPr>
                <w:rFonts w:hint="eastAsia" w:ascii="宋体" w:hAnsi="宋体" w:eastAsia="宋体" w:cs="宋体"/>
                <w:kern w:val="0"/>
                <w:sz w:val="24"/>
                <w:szCs w:val="24"/>
                <w:lang w:bidi="ar"/>
              </w:rPr>
              <w:t>农科类研究生创新实践型人才培养模式研究</w:t>
            </w:r>
          </w:p>
        </w:tc>
        <w:tc>
          <w:tcPr>
            <w:tcW w:w="810" w:type="dxa"/>
            <w:tcBorders>
              <w:tl2br w:val="nil"/>
              <w:tr2bl w:val="nil"/>
            </w:tcBorders>
            <w:shd w:val="clear" w:color="auto" w:fill="auto"/>
            <w:vAlign w:val="center"/>
          </w:tcPr>
          <w:p>
            <w:pPr>
              <w:widowControl/>
              <w:jc w:val="center"/>
              <w:textAlignment w:val="center"/>
              <w:rPr>
                <w:rFonts w:ascii="仿宋体" w:hAnsi="仿宋体" w:eastAsia="宋体" w:cs="仿宋体"/>
                <w:sz w:val="24"/>
                <w:szCs w:val="24"/>
              </w:rPr>
            </w:pPr>
            <w:r>
              <w:rPr>
                <w:rFonts w:ascii="仿宋体" w:hAnsi="仿宋体" w:eastAsia="宋体" w:cs="仿宋体"/>
                <w:kern w:val="0"/>
                <w:sz w:val="24"/>
                <w:szCs w:val="24"/>
                <w:lang w:bidi="ar"/>
              </w:rPr>
              <w:t>张锐</w:t>
            </w:r>
          </w:p>
        </w:tc>
        <w:tc>
          <w:tcPr>
            <w:tcW w:w="810"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c>
          <w:tcPr>
            <w:tcW w:w="804" w:type="dxa"/>
            <w:tcBorders>
              <w:tl2br w:val="nil"/>
              <w:tr2bl w:val="nil"/>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56</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新疆艺术学院</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XJ2019GY56</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新疆高校服饰设计方向专业型硕士培养模式</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夏侠</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0.3</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90"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57</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新疆艺术学院</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XJ2019GY57</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新形势下艺术硕士(MFA)专业学位人才培养模式研究与实践---以新疆高校艺术硕士专业学位授权点为例</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陈永生</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0.3</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58</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新疆艺术学院</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XJ2019GY58</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新疆艺术学院《影像人类学》课程教学方法研究——与清华大学非遗协会合作优化传媒系广播影视创作方向研究生教学改革</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孙晓青</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59</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喀什大学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XJ2019GY59</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基于项目学习的硕士研究生创新能力培养模式研究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韩芳</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60</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喀什大学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XJ2019GY60</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《教育科学研究方法》课程有效教学探索</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余鹏</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61</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喀什大学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XJ2019GY61</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专业学位研究生毕业论文案例库建设——以喀什大学学科教学语文为例</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叶继群</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62</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喀什大学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XJ2019GY62</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翻转课堂视域下的研究生公共英语教学模式改革研究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林冬梅</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63</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伊犁师范大学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XJ2019GY63</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创造有意义的学习经历：教育硕士《教育学原理》课程教学改革研究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冯晖</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0.2</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64</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伊犁师范大学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XJ2019GY64</w:t>
            </w:r>
          </w:p>
        </w:tc>
        <w:tc>
          <w:tcPr>
            <w:tcW w:w="4010" w:type="dxa"/>
            <w:tcBorders>
              <w:tl2br w:val="nil"/>
              <w:tr2bl w:val="nil"/>
            </w:tcBorders>
            <w:shd w:val="clear" w:color="auto" w:fill="auto"/>
            <w:vAlign w:val="center"/>
          </w:tcPr>
          <w:p>
            <w:pPr>
              <w:widowControl/>
              <w:jc w:val="left"/>
              <w:textAlignment w:val="center"/>
              <w:rPr>
                <w:rFonts w:ascii="仿宋体" w:hAnsi="仿宋体" w:eastAsia="宋体" w:cs="仿宋体"/>
                <w:sz w:val="24"/>
                <w:szCs w:val="24"/>
              </w:rPr>
            </w:pPr>
            <w:r>
              <w:rPr>
                <w:rFonts w:ascii="仿宋体" w:hAnsi="仿宋体" w:eastAsia="宋体" w:cs="仿宋体"/>
                <w:kern w:val="0"/>
                <w:sz w:val="24"/>
                <w:szCs w:val="24"/>
                <w:lang w:bidi="ar"/>
              </w:rPr>
              <w:t>教育硕士“</w:t>
            </w:r>
            <w:r>
              <w:rPr>
                <w:rFonts w:ascii="Times New Roman" w:hAnsi="Times New Roman" w:eastAsia="宋体" w:cs="Times New Roman"/>
                <w:kern w:val="0"/>
                <w:sz w:val="24"/>
                <w:szCs w:val="24"/>
                <w:lang w:bidi="ar"/>
              </w:rPr>
              <w:t>2+x</w:t>
            </w:r>
            <w:r>
              <w:rPr>
                <w:rFonts w:ascii="仿宋体" w:hAnsi="仿宋体" w:eastAsia="宋体" w:cs="仿宋体"/>
                <w:kern w:val="0"/>
                <w:sz w:val="24"/>
                <w:szCs w:val="24"/>
                <w:lang w:bidi="ar"/>
              </w:rPr>
              <w:t xml:space="preserve">” </w:t>
            </w:r>
            <w:r>
              <w:rPr>
                <w:rFonts w:hint="eastAsia" w:ascii="宋体" w:hAnsi="宋体" w:eastAsia="宋体" w:cs="宋体"/>
                <w:kern w:val="0"/>
                <w:sz w:val="24"/>
                <w:szCs w:val="24"/>
                <w:lang w:bidi="ar"/>
              </w:rPr>
              <w:t>培养模式研究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冯利</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0.2</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65</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伊犁师范大学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XJ2019GY65</w:t>
            </w:r>
          </w:p>
        </w:tc>
        <w:tc>
          <w:tcPr>
            <w:tcW w:w="4010" w:type="dxa"/>
            <w:tcBorders>
              <w:tl2br w:val="nil"/>
              <w:tr2bl w:val="nil"/>
            </w:tcBorders>
            <w:shd w:val="clear" w:color="auto" w:fill="auto"/>
            <w:vAlign w:val="center"/>
          </w:tcPr>
          <w:p>
            <w:pPr>
              <w:widowControl/>
              <w:jc w:val="left"/>
              <w:textAlignment w:val="center"/>
              <w:rPr>
                <w:rFonts w:ascii="仿宋体" w:hAnsi="仿宋体" w:eastAsia="宋体" w:cs="仿宋体"/>
                <w:sz w:val="24"/>
                <w:szCs w:val="24"/>
              </w:rPr>
            </w:pPr>
            <w:r>
              <w:rPr>
                <w:rFonts w:ascii="仿宋体" w:hAnsi="仿宋体" w:eastAsia="宋体" w:cs="仿宋体"/>
                <w:kern w:val="0"/>
                <w:sz w:val="24"/>
                <w:szCs w:val="24"/>
                <w:lang w:bidi="ar"/>
              </w:rPr>
              <w:t>以社会需求为导向的硕士研究生教育质量内部保障体系建设研究</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何晓燕</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0.2</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66</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伊犁师范大学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XJ2019GY66</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学科教学（数学）专业学位研究生实践能力培养模式构建与实践</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韦俊</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0.2</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67</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伊犁师范大学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XJ2019GY67</w:t>
            </w:r>
          </w:p>
        </w:tc>
        <w:tc>
          <w:tcPr>
            <w:tcW w:w="4010" w:type="dxa"/>
            <w:tcBorders>
              <w:tl2br w:val="nil"/>
              <w:tr2bl w:val="nil"/>
            </w:tcBorders>
            <w:shd w:val="clear" w:color="auto" w:fill="auto"/>
            <w:vAlign w:val="center"/>
          </w:tcPr>
          <w:p>
            <w:pPr>
              <w:widowControl/>
              <w:jc w:val="left"/>
              <w:textAlignment w:val="center"/>
              <w:rPr>
                <w:rFonts w:ascii="仿宋体" w:hAnsi="仿宋体" w:eastAsia="宋体" w:cs="仿宋体"/>
                <w:sz w:val="24"/>
                <w:szCs w:val="24"/>
              </w:rPr>
            </w:pPr>
            <w:r>
              <w:rPr>
                <w:rFonts w:ascii="仿宋体" w:hAnsi="仿宋体" w:eastAsia="宋体" w:cs="仿宋体"/>
                <w:kern w:val="0"/>
                <w:sz w:val="24"/>
                <w:szCs w:val="24"/>
                <w:lang w:bidi="ar"/>
              </w:rPr>
              <w:t>教育硕士教学案例库建设</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谢淑海</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0.6</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jc w:val="center"/>
        </w:trPr>
        <w:tc>
          <w:tcPr>
            <w:tcW w:w="567"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68</w:t>
            </w:r>
          </w:p>
        </w:tc>
        <w:tc>
          <w:tcPr>
            <w:tcW w:w="1702"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伊犁师范大学</w:t>
            </w:r>
          </w:p>
        </w:tc>
        <w:tc>
          <w:tcPr>
            <w:tcW w:w="1559"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XJ2019GY68</w:t>
            </w:r>
          </w:p>
        </w:tc>
        <w:tc>
          <w:tcPr>
            <w:tcW w:w="4010" w:type="dxa"/>
            <w:tcBorders>
              <w:tl2br w:val="nil"/>
              <w:tr2bl w:val="nil"/>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完善研究生教育质量监督体系建设措施和策略</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张文</w:t>
            </w:r>
          </w:p>
        </w:tc>
        <w:tc>
          <w:tcPr>
            <w:tcW w:w="810"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0.2</w:t>
            </w:r>
          </w:p>
        </w:tc>
        <w:tc>
          <w:tcPr>
            <w:tcW w:w="804" w:type="dxa"/>
            <w:tcBorders>
              <w:tl2br w:val="nil"/>
              <w:tr2bl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0.8</w:t>
            </w:r>
          </w:p>
        </w:tc>
      </w:tr>
    </w:tbl>
    <w:p>
      <w:pPr>
        <w:spacing w:line="560" w:lineRule="exact"/>
        <w:rPr>
          <w:rFonts w:ascii="Times New Roman" w:hAnsi="Times New Roman" w:eastAsia="方正仿宋_GBK" w:cs="Times New Roman"/>
          <w:sz w:val="32"/>
          <w:szCs w:val="32"/>
        </w:rPr>
        <w:sectPr>
          <w:footerReference r:id="rId3" w:type="default"/>
          <w:footerReference r:id="rId4" w:type="even"/>
          <w:pgSz w:w="11906" w:h="16838"/>
          <w:pgMar w:top="2098" w:right="1531" w:bottom="1985" w:left="1531" w:header="851" w:footer="992" w:gutter="0"/>
          <w:cols w:space="0" w:num="1"/>
          <w:docGrid w:type="lines" w:linePitch="312" w:charSpace="0"/>
        </w:sectPr>
      </w:pPr>
    </w:p>
    <w:tbl>
      <w:tblPr>
        <w:tblStyle w:val="9"/>
        <w:tblW w:w="14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9"/>
        <w:gridCol w:w="1351"/>
        <w:gridCol w:w="105"/>
        <w:gridCol w:w="1881"/>
        <w:gridCol w:w="945"/>
        <w:gridCol w:w="655"/>
        <w:gridCol w:w="214"/>
        <w:gridCol w:w="339"/>
        <w:gridCol w:w="847"/>
        <w:gridCol w:w="593"/>
        <w:gridCol w:w="57"/>
        <w:gridCol w:w="170"/>
        <w:gridCol w:w="774"/>
        <w:gridCol w:w="429"/>
        <w:gridCol w:w="444"/>
        <w:gridCol w:w="72"/>
        <w:gridCol w:w="805"/>
        <w:gridCol w:w="139"/>
        <w:gridCol w:w="913"/>
        <w:gridCol w:w="107"/>
        <w:gridCol w:w="69"/>
        <w:gridCol w:w="866"/>
        <w:gridCol w:w="589"/>
        <w:gridCol w:w="463"/>
        <w:gridCol w:w="346"/>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jc w:val="center"/>
        </w:trPr>
        <w:tc>
          <w:tcPr>
            <w:tcW w:w="3926" w:type="dxa"/>
            <w:gridSpan w:val="4"/>
            <w:tcBorders>
              <w:top w:val="nil"/>
              <w:left w:val="nil"/>
              <w:bottom w:val="nil"/>
              <w:right w:val="nil"/>
            </w:tcBorders>
            <w:shd w:val="clear" w:color="auto" w:fill="auto"/>
            <w:vAlign w:val="center"/>
          </w:tcPr>
          <w:p>
            <w:pPr>
              <w:widowControl/>
              <w:jc w:val="left"/>
              <w:textAlignment w:val="center"/>
              <w:rPr>
                <w:rFonts w:ascii="Times New Roman" w:hAnsi="Times New Roman" w:eastAsia="黑体" w:cs="Times New Roman"/>
                <w:bCs/>
                <w:szCs w:val="21"/>
              </w:rPr>
            </w:pPr>
            <w:r>
              <w:rPr>
                <w:rFonts w:hint="eastAsia" w:ascii="黑体" w:hAnsi="宋体" w:eastAsia="黑体" w:cs="黑体"/>
                <w:kern w:val="0"/>
                <w:sz w:val="32"/>
                <w:szCs w:val="32"/>
                <w:lang w:bidi="ar"/>
              </w:rPr>
              <w:t>附件3</w:t>
            </w:r>
          </w:p>
        </w:tc>
        <w:tc>
          <w:tcPr>
            <w:tcW w:w="945" w:type="dxa"/>
            <w:tcBorders>
              <w:top w:val="nil"/>
              <w:left w:val="nil"/>
              <w:bottom w:val="nil"/>
              <w:right w:val="nil"/>
            </w:tcBorders>
            <w:shd w:val="clear" w:color="auto" w:fill="auto"/>
            <w:vAlign w:val="center"/>
          </w:tcPr>
          <w:p>
            <w:pPr>
              <w:rPr>
                <w:rFonts w:ascii="Times New Roman" w:hAnsi="Times New Roman" w:eastAsia="宋体" w:cs="Times New Roman"/>
                <w:bCs/>
                <w:szCs w:val="21"/>
              </w:rPr>
            </w:pPr>
          </w:p>
        </w:tc>
        <w:tc>
          <w:tcPr>
            <w:tcW w:w="1208" w:type="dxa"/>
            <w:gridSpan w:val="3"/>
            <w:tcBorders>
              <w:top w:val="nil"/>
              <w:left w:val="nil"/>
              <w:bottom w:val="nil"/>
              <w:right w:val="nil"/>
            </w:tcBorders>
            <w:shd w:val="clear" w:color="auto" w:fill="auto"/>
            <w:vAlign w:val="center"/>
          </w:tcPr>
          <w:p>
            <w:pPr>
              <w:rPr>
                <w:rFonts w:ascii="Times New Roman" w:hAnsi="Times New Roman" w:eastAsia="宋体" w:cs="Times New Roman"/>
                <w:bCs/>
                <w:szCs w:val="21"/>
              </w:rPr>
            </w:pPr>
          </w:p>
        </w:tc>
        <w:tc>
          <w:tcPr>
            <w:tcW w:w="1497" w:type="dxa"/>
            <w:gridSpan w:val="3"/>
            <w:tcBorders>
              <w:top w:val="nil"/>
              <w:left w:val="nil"/>
              <w:bottom w:val="nil"/>
              <w:right w:val="nil"/>
            </w:tcBorders>
            <w:shd w:val="clear" w:color="auto" w:fill="auto"/>
            <w:vAlign w:val="center"/>
          </w:tcPr>
          <w:p>
            <w:pPr>
              <w:rPr>
                <w:rFonts w:ascii="Times New Roman" w:hAnsi="Times New Roman" w:eastAsia="宋体" w:cs="Times New Roman"/>
                <w:bCs/>
                <w:szCs w:val="21"/>
              </w:rPr>
            </w:pPr>
          </w:p>
        </w:tc>
        <w:tc>
          <w:tcPr>
            <w:tcW w:w="944" w:type="dxa"/>
            <w:gridSpan w:val="2"/>
            <w:tcBorders>
              <w:top w:val="nil"/>
              <w:left w:val="nil"/>
              <w:bottom w:val="nil"/>
              <w:right w:val="nil"/>
            </w:tcBorders>
            <w:shd w:val="clear" w:color="auto" w:fill="auto"/>
            <w:vAlign w:val="center"/>
          </w:tcPr>
          <w:p>
            <w:pPr>
              <w:rPr>
                <w:rFonts w:ascii="Times New Roman" w:hAnsi="Times New Roman" w:eastAsia="宋体" w:cs="Times New Roman"/>
                <w:bCs/>
                <w:szCs w:val="21"/>
              </w:rPr>
            </w:pPr>
          </w:p>
        </w:tc>
        <w:tc>
          <w:tcPr>
            <w:tcW w:w="945" w:type="dxa"/>
            <w:gridSpan w:val="3"/>
            <w:tcBorders>
              <w:top w:val="nil"/>
              <w:left w:val="nil"/>
              <w:bottom w:val="nil"/>
              <w:right w:val="nil"/>
            </w:tcBorders>
            <w:shd w:val="clear" w:color="auto" w:fill="auto"/>
            <w:vAlign w:val="center"/>
          </w:tcPr>
          <w:p>
            <w:pPr>
              <w:rPr>
                <w:rFonts w:ascii="Times New Roman" w:hAnsi="Times New Roman" w:eastAsia="宋体" w:cs="Times New Roman"/>
                <w:bCs/>
                <w:szCs w:val="21"/>
              </w:rPr>
            </w:pPr>
          </w:p>
        </w:tc>
        <w:tc>
          <w:tcPr>
            <w:tcW w:w="944" w:type="dxa"/>
            <w:gridSpan w:val="2"/>
            <w:tcBorders>
              <w:top w:val="nil"/>
              <w:left w:val="nil"/>
              <w:bottom w:val="nil"/>
              <w:right w:val="nil"/>
            </w:tcBorders>
            <w:shd w:val="clear" w:color="auto" w:fill="auto"/>
            <w:vAlign w:val="center"/>
          </w:tcPr>
          <w:p>
            <w:pPr>
              <w:rPr>
                <w:rFonts w:ascii="Times New Roman" w:hAnsi="Times New Roman" w:eastAsia="宋体" w:cs="Times New Roman"/>
                <w:bCs/>
                <w:szCs w:val="21"/>
              </w:rPr>
            </w:pPr>
          </w:p>
        </w:tc>
        <w:tc>
          <w:tcPr>
            <w:tcW w:w="1089" w:type="dxa"/>
            <w:gridSpan w:val="3"/>
            <w:tcBorders>
              <w:top w:val="nil"/>
              <w:left w:val="nil"/>
              <w:bottom w:val="nil"/>
              <w:right w:val="nil"/>
            </w:tcBorders>
            <w:shd w:val="clear" w:color="auto" w:fill="auto"/>
            <w:vAlign w:val="center"/>
          </w:tcPr>
          <w:p>
            <w:pPr>
              <w:rPr>
                <w:rFonts w:ascii="Times New Roman" w:hAnsi="Times New Roman" w:eastAsia="宋体" w:cs="Times New Roman"/>
                <w:bCs/>
                <w:szCs w:val="21"/>
              </w:rPr>
            </w:pPr>
          </w:p>
        </w:tc>
        <w:tc>
          <w:tcPr>
            <w:tcW w:w="866" w:type="dxa"/>
            <w:tcBorders>
              <w:top w:val="nil"/>
              <w:left w:val="nil"/>
              <w:bottom w:val="nil"/>
              <w:right w:val="nil"/>
            </w:tcBorders>
            <w:shd w:val="clear" w:color="auto" w:fill="auto"/>
            <w:vAlign w:val="center"/>
          </w:tcPr>
          <w:p>
            <w:pPr>
              <w:rPr>
                <w:rFonts w:ascii="Times New Roman" w:hAnsi="Times New Roman" w:eastAsia="宋体" w:cs="Times New Roman"/>
                <w:bCs/>
                <w:szCs w:val="21"/>
              </w:rPr>
            </w:pPr>
          </w:p>
        </w:tc>
        <w:tc>
          <w:tcPr>
            <w:tcW w:w="1052" w:type="dxa"/>
            <w:gridSpan w:val="2"/>
            <w:tcBorders>
              <w:top w:val="nil"/>
              <w:left w:val="nil"/>
              <w:bottom w:val="nil"/>
              <w:right w:val="nil"/>
            </w:tcBorders>
            <w:shd w:val="clear" w:color="auto" w:fill="auto"/>
            <w:vAlign w:val="center"/>
          </w:tcPr>
          <w:p>
            <w:pPr>
              <w:rPr>
                <w:rFonts w:ascii="Times New Roman" w:hAnsi="Times New Roman" w:eastAsia="宋体" w:cs="Times New Roman"/>
                <w:bCs/>
                <w:szCs w:val="21"/>
              </w:rPr>
            </w:pPr>
          </w:p>
        </w:tc>
        <w:tc>
          <w:tcPr>
            <w:tcW w:w="1209" w:type="dxa"/>
            <w:gridSpan w:val="2"/>
            <w:tcBorders>
              <w:top w:val="nil"/>
              <w:left w:val="nil"/>
              <w:bottom w:val="nil"/>
              <w:right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jc w:val="center"/>
        </w:trPr>
        <w:tc>
          <w:tcPr>
            <w:tcW w:w="14625" w:type="dxa"/>
            <w:gridSpan w:val="26"/>
            <w:tcBorders>
              <w:top w:val="nil"/>
              <w:left w:val="nil"/>
              <w:bottom w:val="single" w:color="auto" w:sz="4" w:space="0"/>
              <w:right w:val="nil"/>
            </w:tcBorders>
            <w:shd w:val="clear" w:color="auto" w:fill="auto"/>
            <w:vAlign w:val="center"/>
          </w:tcPr>
          <w:p>
            <w:pPr>
              <w:widowControl/>
              <w:jc w:val="center"/>
              <w:textAlignment w:val="center"/>
              <w:rPr>
                <w:rFonts w:ascii="Times New Roman" w:hAnsi="Times New Roman" w:eastAsia="华文中宋" w:cs="Times New Roman"/>
                <w:bCs/>
                <w:szCs w:val="21"/>
              </w:rPr>
            </w:pPr>
            <w:r>
              <w:rPr>
                <w:rFonts w:hint="eastAsia" w:ascii="方正小标宋_GBK" w:hAnsi="方正小标宋_GBK" w:eastAsia="方正小标宋_GBK" w:cs="方正小标宋_GBK"/>
                <w:kern w:val="0"/>
                <w:sz w:val="44"/>
                <w:szCs w:val="44"/>
                <w:lang w:bidi="ar"/>
              </w:rPr>
              <w:t>2019年自治区研究生科研创新项目立项名单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589" w:type="dxa"/>
            <w:vMerge w:val="restar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b/>
                <w:szCs w:val="21"/>
              </w:rPr>
            </w:pPr>
            <w:r>
              <w:rPr>
                <w:rFonts w:hint="eastAsia" w:ascii="宋体" w:hAnsi="宋体" w:eastAsia="宋体" w:cs="宋体"/>
                <w:b/>
                <w:kern w:val="0"/>
                <w:sz w:val="24"/>
                <w:szCs w:val="24"/>
                <w:lang w:bidi="ar"/>
              </w:rPr>
              <w:t>序号</w:t>
            </w:r>
          </w:p>
        </w:tc>
        <w:tc>
          <w:tcPr>
            <w:tcW w:w="1351" w:type="dxa"/>
            <w:vMerge w:val="restar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b/>
                <w:szCs w:val="21"/>
              </w:rPr>
            </w:pPr>
            <w:r>
              <w:rPr>
                <w:rFonts w:hint="eastAsia" w:ascii="宋体" w:hAnsi="宋体" w:eastAsia="宋体" w:cs="宋体"/>
                <w:b/>
                <w:kern w:val="0"/>
                <w:sz w:val="24"/>
                <w:szCs w:val="24"/>
                <w:lang w:bidi="ar"/>
              </w:rPr>
              <w:t>项目编号</w:t>
            </w:r>
          </w:p>
        </w:tc>
        <w:tc>
          <w:tcPr>
            <w:tcW w:w="3800" w:type="dxa"/>
            <w:gridSpan w:val="5"/>
            <w:vMerge w:val="restart"/>
            <w:tcBorders>
              <w:top w:val="single" w:color="auto" w:sz="4" w:space="0"/>
              <w:bottom w:val="single" w:color="auto" w:sz="4" w:space="0"/>
            </w:tcBorders>
            <w:shd w:val="clear" w:color="auto" w:fill="auto"/>
            <w:vAlign w:val="center"/>
          </w:tcPr>
          <w:p>
            <w:pPr>
              <w:widowControl/>
              <w:jc w:val="center"/>
              <w:textAlignment w:val="center"/>
            </w:pPr>
            <w:r>
              <w:rPr>
                <w:rFonts w:hint="eastAsia" w:ascii="宋体" w:hAnsi="宋体" w:eastAsia="宋体" w:cs="宋体"/>
                <w:b/>
                <w:kern w:val="0"/>
                <w:sz w:val="24"/>
                <w:szCs w:val="24"/>
                <w:lang w:bidi="ar"/>
              </w:rPr>
              <w:t>项目名称</w:t>
            </w:r>
          </w:p>
        </w:tc>
        <w:tc>
          <w:tcPr>
            <w:tcW w:w="1186" w:type="dxa"/>
            <w:gridSpan w:val="2"/>
            <w:vMerge w:val="restar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hint="eastAsia" w:ascii="宋体" w:hAnsi="宋体" w:eastAsia="宋体" w:cs="宋体"/>
                <w:b/>
                <w:kern w:val="0"/>
                <w:sz w:val="24"/>
                <w:szCs w:val="24"/>
                <w:lang w:bidi="ar"/>
              </w:rPr>
              <w:t>申请人</w:t>
            </w:r>
          </w:p>
        </w:tc>
        <w:tc>
          <w:tcPr>
            <w:tcW w:w="593" w:type="dxa"/>
            <w:vMerge w:val="restart"/>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培养</w:t>
            </w:r>
          </w:p>
          <w:p>
            <w:pPr>
              <w:widowControl/>
              <w:jc w:val="center"/>
              <w:textAlignment w:val="center"/>
              <w:rPr>
                <w:rFonts w:ascii="Times New Roman" w:hAnsi="Times New Roman" w:eastAsia="宋体" w:cs="Times New Roman"/>
                <w:b/>
                <w:szCs w:val="21"/>
              </w:rPr>
            </w:pPr>
            <w:r>
              <w:rPr>
                <w:rFonts w:hint="eastAsia" w:ascii="宋体" w:hAnsi="宋体" w:eastAsia="宋体" w:cs="宋体"/>
                <w:b/>
                <w:kern w:val="0"/>
                <w:sz w:val="24"/>
                <w:szCs w:val="24"/>
                <w:lang w:bidi="ar"/>
              </w:rPr>
              <w:t>层次</w:t>
            </w:r>
          </w:p>
        </w:tc>
        <w:tc>
          <w:tcPr>
            <w:tcW w:w="1874" w:type="dxa"/>
            <w:gridSpan w:val="5"/>
            <w:vMerge w:val="restart"/>
            <w:tcBorders>
              <w:top w:val="single" w:color="auto" w:sz="4" w:space="0"/>
              <w:bottom w:val="single" w:color="auto" w:sz="4" w:space="0"/>
            </w:tcBorders>
            <w:shd w:val="clear" w:color="auto" w:fill="auto"/>
            <w:vAlign w:val="center"/>
          </w:tcPr>
          <w:p>
            <w:pPr>
              <w:widowControl/>
              <w:jc w:val="center"/>
              <w:textAlignment w:val="center"/>
              <w:rPr>
                <w:rFonts w:ascii="宋体" w:hAnsi="宋体" w:eastAsia="宋体" w:cs="宋体"/>
                <w:b/>
                <w:kern w:val="0"/>
                <w:sz w:val="24"/>
                <w:szCs w:val="24"/>
                <w:lang w:bidi="ar"/>
              </w:rPr>
            </w:pPr>
            <w:r>
              <w:rPr>
                <w:rFonts w:hint="eastAsia" w:ascii="宋体" w:hAnsi="宋体" w:eastAsia="宋体" w:cs="宋体"/>
                <w:b/>
                <w:kern w:val="0"/>
                <w:sz w:val="24"/>
                <w:szCs w:val="24"/>
                <w:lang w:bidi="ar"/>
              </w:rPr>
              <w:t>一级学科名称</w:t>
            </w:r>
          </w:p>
          <w:p>
            <w:pPr>
              <w:widowControl/>
              <w:jc w:val="center"/>
              <w:textAlignment w:val="center"/>
              <w:rPr>
                <w:rFonts w:ascii="Times New Roman" w:hAnsi="Times New Roman" w:eastAsia="宋体" w:cs="Times New Roman"/>
                <w:b/>
                <w:szCs w:val="21"/>
              </w:rPr>
            </w:pPr>
            <w:r>
              <w:rPr>
                <w:rFonts w:hint="eastAsia" w:ascii="宋体" w:hAnsi="宋体" w:eastAsia="宋体" w:cs="宋体"/>
                <w:b/>
                <w:kern w:val="0"/>
                <w:sz w:val="24"/>
                <w:szCs w:val="24"/>
                <w:lang w:bidi="ar"/>
              </w:rPr>
              <w:t>（专业学位领域）</w:t>
            </w:r>
          </w:p>
        </w:tc>
        <w:tc>
          <w:tcPr>
            <w:tcW w:w="1016" w:type="dxa"/>
            <w:gridSpan w:val="3"/>
            <w:vMerge w:val="restar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b/>
                <w:szCs w:val="21"/>
              </w:rPr>
            </w:pPr>
            <w:r>
              <w:rPr>
                <w:rFonts w:hint="eastAsia" w:ascii="宋体" w:hAnsi="宋体" w:eastAsia="宋体" w:cs="宋体"/>
                <w:b/>
                <w:kern w:val="0"/>
                <w:sz w:val="24"/>
                <w:szCs w:val="24"/>
                <w:lang w:bidi="ar"/>
              </w:rPr>
              <w:t>申报类型</w:t>
            </w:r>
          </w:p>
        </w:tc>
        <w:tc>
          <w:tcPr>
            <w:tcW w:w="1020" w:type="dxa"/>
            <w:gridSpan w:val="2"/>
            <w:vMerge w:val="restar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b/>
                <w:szCs w:val="21"/>
              </w:rPr>
            </w:pPr>
            <w:r>
              <w:rPr>
                <w:rFonts w:hint="eastAsia" w:ascii="宋体" w:hAnsi="宋体" w:eastAsia="宋体" w:cs="宋体"/>
                <w:b/>
                <w:kern w:val="0"/>
                <w:sz w:val="24"/>
                <w:szCs w:val="24"/>
                <w:lang w:bidi="ar"/>
              </w:rPr>
              <w:t>指导教师</w:t>
            </w:r>
          </w:p>
        </w:tc>
        <w:tc>
          <w:tcPr>
            <w:tcW w:w="1524" w:type="dxa"/>
            <w:gridSpan w:val="3"/>
            <w:vMerge w:val="restar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b/>
                <w:szCs w:val="21"/>
              </w:rPr>
            </w:pPr>
            <w:r>
              <w:rPr>
                <w:rFonts w:hint="eastAsia" w:ascii="宋体" w:hAnsi="宋体" w:eastAsia="宋体" w:cs="宋体"/>
                <w:b/>
                <w:kern w:val="0"/>
                <w:sz w:val="24"/>
                <w:szCs w:val="24"/>
                <w:lang w:bidi="ar"/>
              </w:rPr>
              <w:t>所在院校</w:t>
            </w:r>
          </w:p>
        </w:tc>
        <w:tc>
          <w:tcPr>
            <w:tcW w:w="1672" w:type="dxa"/>
            <w:gridSpan w:val="3"/>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b/>
                <w:szCs w:val="21"/>
              </w:rPr>
            </w:pPr>
            <w:r>
              <w:rPr>
                <w:rFonts w:hint="eastAsia" w:ascii="宋体" w:hAnsi="宋体" w:eastAsia="宋体" w:cs="宋体"/>
                <w:b/>
                <w:kern w:val="0"/>
                <w:sz w:val="24"/>
                <w:szCs w:val="24"/>
                <w:lang w:bidi="ar"/>
              </w:rPr>
              <w:t>资助计划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vMerge w:val="continue"/>
            <w:tcBorders>
              <w:top w:val="single" w:color="auto" w:sz="4" w:space="0"/>
            </w:tcBorders>
            <w:shd w:val="clear" w:color="auto" w:fill="auto"/>
            <w:vAlign w:val="center"/>
          </w:tcPr>
          <w:p>
            <w:pPr>
              <w:jc w:val="center"/>
              <w:rPr>
                <w:rFonts w:ascii="Times New Roman" w:hAnsi="Times New Roman" w:eastAsia="宋体" w:cs="Times New Roman"/>
                <w:bCs/>
                <w:szCs w:val="21"/>
              </w:rPr>
            </w:pPr>
          </w:p>
        </w:tc>
        <w:tc>
          <w:tcPr>
            <w:tcW w:w="1351" w:type="dxa"/>
            <w:vMerge w:val="continue"/>
            <w:tcBorders>
              <w:top w:val="single" w:color="auto" w:sz="4" w:space="0"/>
            </w:tcBorders>
            <w:shd w:val="clear" w:color="auto" w:fill="auto"/>
            <w:vAlign w:val="center"/>
          </w:tcPr>
          <w:p>
            <w:pPr>
              <w:jc w:val="center"/>
              <w:rPr>
                <w:rFonts w:ascii="Times New Roman" w:hAnsi="Times New Roman" w:eastAsia="宋体" w:cs="Times New Roman"/>
                <w:bCs/>
                <w:szCs w:val="21"/>
              </w:rPr>
            </w:pPr>
          </w:p>
        </w:tc>
        <w:tc>
          <w:tcPr>
            <w:tcW w:w="3800" w:type="dxa"/>
            <w:gridSpan w:val="5"/>
            <w:vMerge w:val="continue"/>
            <w:tcBorders>
              <w:top w:val="single" w:color="auto" w:sz="4" w:space="0"/>
            </w:tcBorders>
            <w:shd w:val="clear" w:color="auto" w:fill="auto"/>
            <w:vAlign w:val="center"/>
          </w:tcPr>
          <w:p>
            <w:pPr>
              <w:jc w:val="center"/>
            </w:pPr>
          </w:p>
        </w:tc>
        <w:tc>
          <w:tcPr>
            <w:tcW w:w="1186" w:type="dxa"/>
            <w:gridSpan w:val="2"/>
            <w:vMerge w:val="continue"/>
            <w:tcBorders>
              <w:top w:val="single" w:color="auto" w:sz="4" w:space="0"/>
            </w:tcBorders>
            <w:shd w:val="clear" w:color="auto" w:fill="auto"/>
            <w:vAlign w:val="center"/>
          </w:tcPr>
          <w:p>
            <w:pPr>
              <w:jc w:val="center"/>
              <w:rPr>
                <w:rFonts w:ascii="Times New Roman" w:hAnsi="Times New Roman" w:cs="Times New Roman"/>
                <w:bCs/>
                <w:szCs w:val="21"/>
              </w:rPr>
            </w:pPr>
          </w:p>
        </w:tc>
        <w:tc>
          <w:tcPr>
            <w:tcW w:w="593" w:type="dxa"/>
            <w:vMerge w:val="continue"/>
            <w:tcBorders>
              <w:top w:val="single" w:color="auto" w:sz="4" w:space="0"/>
            </w:tcBorders>
            <w:shd w:val="clear" w:color="auto" w:fill="auto"/>
            <w:vAlign w:val="center"/>
          </w:tcPr>
          <w:p>
            <w:pPr>
              <w:jc w:val="center"/>
              <w:rPr>
                <w:rFonts w:ascii="Times New Roman" w:hAnsi="Times New Roman" w:eastAsia="宋体" w:cs="Times New Roman"/>
                <w:bCs/>
                <w:szCs w:val="21"/>
              </w:rPr>
            </w:pPr>
          </w:p>
        </w:tc>
        <w:tc>
          <w:tcPr>
            <w:tcW w:w="1874" w:type="dxa"/>
            <w:gridSpan w:val="5"/>
            <w:vMerge w:val="continue"/>
            <w:tcBorders>
              <w:top w:val="single" w:color="auto" w:sz="4" w:space="0"/>
            </w:tcBorders>
            <w:shd w:val="clear" w:color="auto" w:fill="auto"/>
            <w:vAlign w:val="center"/>
          </w:tcPr>
          <w:p>
            <w:pPr>
              <w:jc w:val="center"/>
              <w:rPr>
                <w:rFonts w:ascii="Times New Roman" w:hAnsi="Times New Roman" w:eastAsia="宋体" w:cs="Times New Roman"/>
                <w:bCs/>
                <w:szCs w:val="21"/>
              </w:rPr>
            </w:pPr>
          </w:p>
        </w:tc>
        <w:tc>
          <w:tcPr>
            <w:tcW w:w="1016" w:type="dxa"/>
            <w:gridSpan w:val="3"/>
            <w:vMerge w:val="continue"/>
            <w:tcBorders>
              <w:top w:val="single" w:color="auto" w:sz="4" w:space="0"/>
            </w:tcBorders>
            <w:shd w:val="clear" w:color="auto" w:fill="auto"/>
            <w:vAlign w:val="center"/>
          </w:tcPr>
          <w:p>
            <w:pPr>
              <w:jc w:val="center"/>
              <w:rPr>
                <w:rFonts w:ascii="Times New Roman" w:hAnsi="Times New Roman" w:eastAsia="宋体" w:cs="Times New Roman"/>
                <w:bCs/>
                <w:szCs w:val="21"/>
              </w:rPr>
            </w:pPr>
          </w:p>
        </w:tc>
        <w:tc>
          <w:tcPr>
            <w:tcW w:w="1020" w:type="dxa"/>
            <w:gridSpan w:val="2"/>
            <w:vMerge w:val="continue"/>
            <w:tcBorders>
              <w:top w:val="single" w:color="auto" w:sz="4" w:space="0"/>
            </w:tcBorders>
            <w:shd w:val="clear" w:color="auto" w:fill="auto"/>
            <w:vAlign w:val="center"/>
          </w:tcPr>
          <w:p>
            <w:pPr>
              <w:jc w:val="center"/>
              <w:rPr>
                <w:rFonts w:ascii="Times New Roman" w:hAnsi="Times New Roman" w:eastAsia="宋体" w:cs="Times New Roman"/>
                <w:bCs/>
                <w:szCs w:val="21"/>
              </w:rPr>
            </w:pPr>
          </w:p>
        </w:tc>
        <w:tc>
          <w:tcPr>
            <w:tcW w:w="1524" w:type="dxa"/>
            <w:gridSpan w:val="3"/>
            <w:vMerge w:val="continue"/>
            <w:tcBorders>
              <w:top w:val="single" w:color="auto" w:sz="4" w:space="0"/>
            </w:tcBorders>
            <w:shd w:val="clear" w:color="auto" w:fill="auto"/>
            <w:vAlign w:val="center"/>
          </w:tcPr>
          <w:p>
            <w:pPr>
              <w:jc w:val="center"/>
              <w:rPr>
                <w:rFonts w:ascii="Times New Roman" w:hAnsi="Times New Roman" w:eastAsia="宋体" w:cs="Times New Roman"/>
                <w:bCs/>
                <w:szCs w:val="21"/>
              </w:rPr>
            </w:pPr>
          </w:p>
        </w:tc>
        <w:tc>
          <w:tcPr>
            <w:tcW w:w="809" w:type="dxa"/>
            <w:gridSpan w:val="2"/>
            <w:tcBorders>
              <w:top w:val="single" w:color="auto" w:sz="4" w:space="0"/>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b/>
                <w:kern w:val="0"/>
                <w:sz w:val="24"/>
                <w:szCs w:val="24"/>
                <w:lang w:bidi="ar"/>
              </w:rPr>
              <w:t>2019年</w:t>
            </w:r>
          </w:p>
        </w:tc>
        <w:tc>
          <w:tcPr>
            <w:tcW w:w="863" w:type="dxa"/>
            <w:tcBorders>
              <w:top w:val="single" w:color="auto" w:sz="4" w:space="0"/>
            </w:tcBorders>
            <w:vAlign w:val="center"/>
          </w:tcPr>
          <w:p>
            <w:pPr>
              <w:widowControl/>
              <w:jc w:val="center"/>
              <w:textAlignment w:val="center"/>
            </w:pPr>
            <w:r>
              <w:rPr>
                <w:rFonts w:hint="eastAsia" w:ascii="宋体" w:hAnsi="宋体" w:eastAsia="宋体" w:cs="宋体"/>
                <w:b/>
                <w:kern w:val="0"/>
                <w:sz w:val="24"/>
                <w:szCs w:val="24"/>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w:t>
            </w:r>
          </w:p>
        </w:tc>
        <w:tc>
          <w:tcPr>
            <w:tcW w:w="135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XJ2019G001</w:t>
            </w:r>
          </w:p>
        </w:tc>
        <w:tc>
          <w:tcPr>
            <w:tcW w:w="3800" w:type="dxa"/>
            <w:gridSpan w:val="5"/>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新时代中国共产党作风建设中的价值观导向</w:t>
            </w:r>
          </w:p>
        </w:tc>
        <w:tc>
          <w:tcPr>
            <w:tcW w:w="1186" w:type="dxa"/>
            <w:gridSpan w:val="2"/>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秘春茜</w:t>
            </w:r>
          </w:p>
        </w:tc>
        <w:tc>
          <w:tcPr>
            <w:tcW w:w="59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874" w:type="dxa"/>
            <w:gridSpan w:val="5"/>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马克思主义理论</w:t>
            </w:r>
          </w:p>
        </w:tc>
        <w:tc>
          <w:tcPr>
            <w:tcW w:w="1016"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张新</w:t>
            </w:r>
          </w:p>
        </w:tc>
        <w:tc>
          <w:tcPr>
            <w:tcW w:w="1524"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w:t>
            </w:r>
          </w:p>
        </w:tc>
        <w:tc>
          <w:tcPr>
            <w:tcW w:w="135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XJ2019G002</w:t>
            </w:r>
          </w:p>
        </w:tc>
        <w:tc>
          <w:tcPr>
            <w:tcW w:w="3800" w:type="dxa"/>
            <w:gridSpan w:val="5"/>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基于中华优秀传统礼文化的社会主义核心价值观培育和弘扬研究</w:t>
            </w:r>
          </w:p>
        </w:tc>
        <w:tc>
          <w:tcPr>
            <w:tcW w:w="1186" w:type="dxa"/>
            <w:gridSpan w:val="2"/>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王仓</w:t>
            </w:r>
          </w:p>
        </w:tc>
        <w:tc>
          <w:tcPr>
            <w:tcW w:w="59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874" w:type="dxa"/>
            <w:gridSpan w:val="5"/>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马克思主义理论</w:t>
            </w:r>
          </w:p>
        </w:tc>
        <w:tc>
          <w:tcPr>
            <w:tcW w:w="1016"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孟楠</w:t>
            </w:r>
          </w:p>
        </w:tc>
        <w:tc>
          <w:tcPr>
            <w:tcW w:w="1524"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w:t>
            </w:r>
          </w:p>
        </w:tc>
        <w:tc>
          <w:tcPr>
            <w:tcW w:w="135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XJ2019G003</w:t>
            </w:r>
          </w:p>
        </w:tc>
        <w:tc>
          <w:tcPr>
            <w:tcW w:w="3800" w:type="dxa"/>
            <w:gridSpan w:val="5"/>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中国碳排放损益偏离测度与影响因素分解</w:t>
            </w:r>
          </w:p>
        </w:tc>
        <w:tc>
          <w:tcPr>
            <w:tcW w:w="1186" w:type="dxa"/>
            <w:gridSpan w:val="2"/>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向仙虹</w:t>
            </w:r>
          </w:p>
        </w:tc>
        <w:tc>
          <w:tcPr>
            <w:tcW w:w="59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874" w:type="dxa"/>
            <w:gridSpan w:val="5"/>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理论经济学</w:t>
            </w:r>
          </w:p>
        </w:tc>
        <w:tc>
          <w:tcPr>
            <w:tcW w:w="1016"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孙慧</w:t>
            </w:r>
          </w:p>
        </w:tc>
        <w:tc>
          <w:tcPr>
            <w:tcW w:w="1524"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w:t>
            </w:r>
          </w:p>
        </w:tc>
        <w:tc>
          <w:tcPr>
            <w:tcW w:w="135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XJ2019G004</w:t>
            </w:r>
          </w:p>
        </w:tc>
        <w:tc>
          <w:tcPr>
            <w:tcW w:w="3800" w:type="dxa"/>
            <w:gridSpan w:val="5"/>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中国制造业竞争力提升的创新驱动效应研究</w:t>
            </w:r>
          </w:p>
        </w:tc>
        <w:tc>
          <w:tcPr>
            <w:tcW w:w="1186" w:type="dxa"/>
            <w:gridSpan w:val="2"/>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刘婵媛</w:t>
            </w:r>
          </w:p>
        </w:tc>
        <w:tc>
          <w:tcPr>
            <w:tcW w:w="59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874" w:type="dxa"/>
            <w:gridSpan w:val="5"/>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理论经济学</w:t>
            </w:r>
          </w:p>
        </w:tc>
        <w:tc>
          <w:tcPr>
            <w:tcW w:w="1016"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李金叶</w:t>
            </w:r>
          </w:p>
        </w:tc>
        <w:tc>
          <w:tcPr>
            <w:tcW w:w="1524"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w:t>
            </w:r>
          </w:p>
        </w:tc>
        <w:tc>
          <w:tcPr>
            <w:tcW w:w="135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XJ2019G005</w:t>
            </w:r>
          </w:p>
        </w:tc>
        <w:tc>
          <w:tcPr>
            <w:tcW w:w="3800" w:type="dxa"/>
            <w:gridSpan w:val="5"/>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环境规制、偏向型技术进步与绿色全要素生产率</w:t>
            </w:r>
          </w:p>
        </w:tc>
        <w:tc>
          <w:tcPr>
            <w:tcW w:w="1186" w:type="dxa"/>
            <w:gridSpan w:val="2"/>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蒙玉鑫</w:t>
            </w:r>
          </w:p>
        </w:tc>
        <w:tc>
          <w:tcPr>
            <w:tcW w:w="59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874" w:type="dxa"/>
            <w:gridSpan w:val="5"/>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理论经济学</w:t>
            </w:r>
          </w:p>
        </w:tc>
        <w:tc>
          <w:tcPr>
            <w:tcW w:w="1016"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冉启英</w:t>
            </w:r>
          </w:p>
        </w:tc>
        <w:tc>
          <w:tcPr>
            <w:tcW w:w="1524"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w:t>
            </w:r>
          </w:p>
        </w:tc>
        <w:tc>
          <w:tcPr>
            <w:tcW w:w="135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XJ2019G006</w:t>
            </w:r>
          </w:p>
        </w:tc>
        <w:tc>
          <w:tcPr>
            <w:tcW w:w="3800" w:type="dxa"/>
            <w:gridSpan w:val="5"/>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新疆当代手艺人的技艺传承对乡村文化旅游开发的促进实践——以喀什和伊犁地区为例</w:t>
            </w:r>
          </w:p>
        </w:tc>
        <w:tc>
          <w:tcPr>
            <w:tcW w:w="1186" w:type="dxa"/>
            <w:gridSpan w:val="2"/>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张鹏</w:t>
            </w:r>
          </w:p>
        </w:tc>
        <w:tc>
          <w:tcPr>
            <w:tcW w:w="59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874" w:type="dxa"/>
            <w:gridSpan w:val="5"/>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中国语言文学</w:t>
            </w:r>
          </w:p>
        </w:tc>
        <w:tc>
          <w:tcPr>
            <w:tcW w:w="1016"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王敏</w:t>
            </w:r>
          </w:p>
        </w:tc>
        <w:tc>
          <w:tcPr>
            <w:tcW w:w="1524"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w:t>
            </w:r>
          </w:p>
        </w:tc>
        <w:tc>
          <w:tcPr>
            <w:tcW w:w="135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XJ2019G007</w:t>
            </w:r>
          </w:p>
        </w:tc>
        <w:tc>
          <w:tcPr>
            <w:tcW w:w="3800" w:type="dxa"/>
            <w:gridSpan w:val="5"/>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具有生物经济及年龄结构的种群动力学模型研究</w:t>
            </w:r>
          </w:p>
        </w:tc>
        <w:tc>
          <w:tcPr>
            <w:tcW w:w="1186" w:type="dxa"/>
            <w:gridSpan w:val="2"/>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罗颜涛</w:t>
            </w:r>
          </w:p>
        </w:tc>
        <w:tc>
          <w:tcPr>
            <w:tcW w:w="59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874" w:type="dxa"/>
            <w:gridSpan w:val="5"/>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数学</w:t>
            </w:r>
          </w:p>
        </w:tc>
        <w:tc>
          <w:tcPr>
            <w:tcW w:w="1016"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滕志东</w:t>
            </w:r>
          </w:p>
        </w:tc>
        <w:tc>
          <w:tcPr>
            <w:tcW w:w="1524"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w:t>
            </w:r>
          </w:p>
        </w:tc>
        <w:tc>
          <w:tcPr>
            <w:tcW w:w="135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XJ2019G008</w:t>
            </w:r>
          </w:p>
        </w:tc>
        <w:tc>
          <w:tcPr>
            <w:tcW w:w="3800" w:type="dxa"/>
            <w:gridSpan w:val="5"/>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网络信息传播反应扩散模型的分析与控制</w:t>
            </w:r>
          </w:p>
        </w:tc>
        <w:tc>
          <w:tcPr>
            <w:tcW w:w="1186" w:type="dxa"/>
            <w:gridSpan w:val="2"/>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卢秉龙</w:t>
            </w:r>
          </w:p>
        </w:tc>
        <w:tc>
          <w:tcPr>
            <w:tcW w:w="59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874" w:type="dxa"/>
            <w:gridSpan w:val="5"/>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数学</w:t>
            </w:r>
          </w:p>
        </w:tc>
        <w:tc>
          <w:tcPr>
            <w:tcW w:w="1016"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蒋海军</w:t>
            </w:r>
          </w:p>
        </w:tc>
        <w:tc>
          <w:tcPr>
            <w:tcW w:w="1524"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w:t>
            </w:r>
          </w:p>
        </w:tc>
        <w:tc>
          <w:tcPr>
            <w:tcW w:w="135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XJ2019G009</w:t>
            </w:r>
          </w:p>
        </w:tc>
        <w:tc>
          <w:tcPr>
            <w:tcW w:w="3800" w:type="dxa"/>
            <w:gridSpan w:val="5"/>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大型离散时间动力学系统模型降阶方法研究</w:t>
            </w:r>
          </w:p>
        </w:tc>
        <w:tc>
          <w:tcPr>
            <w:tcW w:w="1186" w:type="dxa"/>
            <w:gridSpan w:val="2"/>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李延鹏</w:t>
            </w:r>
          </w:p>
        </w:tc>
        <w:tc>
          <w:tcPr>
            <w:tcW w:w="59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874" w:type="dxa"/>
            <w:gridSpan w:val="5"/>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数学</w:t>
            </w:r>
          </w:p>
        </w:tc>
        <w:tc>
          <w:tcPr>
            <w:tcW w:w="1016"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蒋耀林</w:t>
            </w:r>
          </w:p>
        </w:tc>
        <w:tc>
          <w:tcPr>
            <w:tcW w:w="1524"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自然对流问题的恢复型误差估计</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李露露</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数学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何银年</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曲面对流扩散方程的无网格方法</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娜扎开提·阿迪力</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数学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冯新龙</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基于MOFs合成新型功能材料及其氧还原反应性能研究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冯超</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王吉德</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新型锂离子电池负极材料Li2FeSiO4/C的制备及其电化学性能研究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高杨</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刘浪</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CoxP基纳米材料的固相化学合成及电催化性能的研究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王坤</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曹亚丽</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钼基金属氧化物的锂/钠离子电池负极材料的制备及性能研究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丁娟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贾殿赠</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卤氧化铋基复合材料的结构设计及光催化性能研究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艾礼莉</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贾殿赠</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钛基有机-无机纳米复合材料的固相合成及其光电转换性能</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胡金豆</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曹亚丽</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TiNb2O7/CNTs一维纳米复合材料的构筑及电化学性能研究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刘浪</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XJ2019G019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丝绸之路经济带核心区新疆城镇化与生态环境耦合机理与调控</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高倩</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方创琳，</w:t>
            </w:r>
          </w:p>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张小雷</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干旱荒漠区垂直河岸带土壤呼吸与土壤理化因子空间特征及非平稳性研究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王金龙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生态学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吕光辉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干旱荒漠区植物群落多样性及环境响应</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王恒方</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生态学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吕光辉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基于多尺度特征深度卷积网络的沙漠腹地绿洲网状河道提取研究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比拉力·依明</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生态学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师庆东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绵羊胎儿肌纤维类型形成的转录取分析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段魏魏</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Cs w:val="21"/>
                <w:lang w:bidi="ar"/>
              </w:rPr>
              <w:t>胡</w:t>
            </w:r>
            <w:r>
              <w:rPr>
                <w:rFonts w:hint="eastAsia" w:ascii="宋体" w:hAnsi="宋体" w:eastAsia="宋体" w:cs="宋体"/>
                <w:kern w:val="0"/>
                <w:sz w:val="24"/>
                <w:szCs w:val="24"/>
                <w:lang w:bidi="ar"/>
              </w:rPr>
              <w:t>红英、刘明军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黄花补血草(Limonium aureum (L.) Hill)异型花柱的变异和演化</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何爽</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张爱勤</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阿尔金山自然保护区金小蜂和姬小蜂区系分析及其极端环境适应机理</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康宁</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胡红英</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双峰驼DGAT1和DGAT2基因SNPs分析与产奶性状的关系</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姚怀兵</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胡红英，杨洁</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阿魏菇多糖佐剂、顺铂与HPV治疗性树突状细胞疫苗联合治疗宫颈癌研究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袁鹏飞</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李金耀</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费尔干猪毛菜C4光合同化结构及生理特性的发育增强研究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刘艳霞</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兰海燕</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7"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XJ2019G029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3D打印同轴复合材料载药组织工程骨支架及其工艺研究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张旭婧</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机械制造及其自动化</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周建平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基于分布式FBG监测齿根应变的行星齿轮箱智能故障诊断方法研究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王宏伟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机械工程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孙文磊</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面向医疗服务的室内移动机器人语义SLAM关键技术研究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冉腾</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机械工程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袁亮</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短电弧脉冲电源内特性对非稳态电弧放电的影响规律研究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周宗杰</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机械工程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王立忠</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基于小型无人机的干旱区农情遥感信息获取关键技术研究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樊湘鹏</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机械工程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周建平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考虑灵活性与运行风险的大规模新能源并网电力系统优化调度研究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张高航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电气工程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李凤婷</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新疆地区极端气候条件下油纸绝缘介质空间电荷特性研究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姜贵敏</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电气工程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周远翔</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基于自适应强化学习的智能变体无人机控制研究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李新凯</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电气工程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范文慧</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基于改进多目标进化算法在含风电与交流供电装置的电力系统DEED问题研究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李笑竹</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电气工程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王维庆</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流式大数据处理环境下的节能计算研究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蒲勇霖</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计算机科学与技术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于炯</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XJ2019G039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基于深度哈希的图像检索算法研究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程述立</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计算机科学与技术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汪烈军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大数据云存储下的节能优化策略</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英昌艳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计算机应用技术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Cs w:val="21"/>
                <w:lang w:bidi="ar"/>
              </w:rPr>
              <w:t>吾守尔·斯拉木</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0.7</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面向医疗领域文本的命名实体识别与分类</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李萍</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计算机科学与技术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于炯</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产业转移对区域绿色创新效率的空间效应分析--基于SBM-DEA的分析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陈春香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工商管理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邓峰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城市轨道交通运营安全中的行政执法问题研究-乌鲁木齐为例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邵丽</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行政法学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张建江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新疆形象的新媒体传播实证研究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夏志斌</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新闻传播学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张允</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COFs材料气敏性能的调控及其在爆炸物检测中的应用研究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张炜钰</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物理学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段海明</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A型亚矮星的起源的研究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余金龙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物理学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吕国梁</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9"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过渡族元素互换对过渡族元素基块体磁性非晶合金性能的影响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努尔比亚·艾合买提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材料科学与工程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李强</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煤液化残渣衍生多孔碳的制备与电化学性能研究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王相龙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李怡招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49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XJ2019G049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氮掺杂煤基碳量子点的制备及其在金属离子检测中的应用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徐波</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6"/>
                <w:szCs w:val="16"/>
                <w:lang w:bidi="ar"/>
              </w:rPr>
              <w:t>哈丽丹·买买提</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乙炔氢氯化反应中金属钯基/碳复合材料催化剂的制备及其催化性能研究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廉立臻</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王璐</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碳基无空穴传输层的平面钙钛矿太阳能电池的全低温制备及性能研究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强越</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谢亚红</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高碱金属煤燃烧过程中渣体抗剪特性研究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卢琪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化工过程机械</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魏博</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基于改进深蓝算法的干旱区气溶胶光学厚度遥感估算——以乌鲁木齐为例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陈香月</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丁建丽</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1"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天山北坡植被覆盖动态监测和模拟研究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徐泽源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许仲林</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高寒草原马先蒿空间分布影响因子及其时空变化特征研究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王丹</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郑江华</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基于遥感的丝绸之路经济带核心区城市化与大气污染时空格局演变及其耦合关系研究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李雪萍</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生态学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贡璐</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5"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东天山卡拉塔格地区黄滩金矿床金的赋存状态研究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包长甲</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地质学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柴凤梅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低渗透含水煤储层微波汽爆增透机理研究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齐琦</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szCs w:val="24"/>
                <w:lang w:bidi="ar"/>
              </w:rPr>
              <w:t>地质资源与地质工程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59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XJ2019G059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新疆库鲁克塔格深熔混合岩变质作用P-T-t轨迹及其对Columbia超大陆的约束</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崔涛</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地质学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郭瑞清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基于灰色预测的智能增长城市</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张倩</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控制科学与工程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王宏伟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机器人场景感知与自主行为决策方法研究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潘荣敏</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控制科学与工程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袁杰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改进神经网络算法应用于眼疾诊断</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孙甜甜</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信息与通信工程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吕小毅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基于深度学习的Android恶意软件检测及分类方法研究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杨航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计算机科学与技术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张琳琳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基于迁移学习的多文种离线手写签名识别</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莫龙飞</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信息与通信工程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szCs w:val="24"/>
                <w:lang w:bidi="ar"/>
              </w:rPr>
              <w:t>库尔班·吾布力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基于深度学习的安卓恶意软件分析与检测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裴新军</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计算机科学与技术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禹龙</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沙漠砂混凝土基本力学性能及本构关系的研究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李向阳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土木工程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秦拥军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掺沙漠砂的PE-ECC冲击韧性研究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贺成林</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土木工程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韩风霞</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C30风积沙自密实混凝土抗压性能研究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邓焙元</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土木工程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69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XJ2019G069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结合在线学习和ResneXt算法的单图像超分辨率重建</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南方哲</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软件工程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钱育蓉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网络欺凌文本识别</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孟曌</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软件工程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田生伟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基于连续帧图像的三维人脸微表情检测与识别研究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赖振意</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软件工程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钱育蓉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Spark环境下K-means算法初始中心点优化研究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行艳妮</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软件工程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钱育蓉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结构型石墨对硅/碳/石墨复合负极材料性能影响的机理研究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李天宇</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纺织科学与工程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夏鑫</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0"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罗布麻纳米纤维素/原花青素功能敷料的制备与机理分析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纺织科学与工程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夏鑫</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蓄热调温型驼绒包芯纱线的的制备及其控温性能研究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邹沁杉</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纺织科学与工程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夏鑫</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氮肥优化管理对滴灌甜菜氮素利用效率的调控机理研究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苏继霞</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侯振安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0"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基于微观组织结构的枣枝力学响应特性研究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王保帅</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李成松</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细胞壁蛋白PGIP参与棉纤维伸长发育的功能研究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竺丽萍</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李鸿彬</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79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XJ2019G079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陆地棉14-3-3基因家族的鉴定与功能分析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桑  娜</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孙玉强、黄先忠</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基于微生物和代谢组学技术研究发酵棉粕对肉鸡脂肪沉积的调控作用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牛俊丽</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畜牧学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张文举、聂存喜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间充质干细胞（MSCs）通过SDF-1α/CXCR4促进内皮祖细胞（EPCs）在后肢缺血小鼠中血管新生的研究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王小义</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畜牧学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吴向未</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基于无人机遥感监测的雹灾评估模型的建立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  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马富裕</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短命植物小拟南芥(Arabidopsis pumila) △1-吡咯啉-5-羧酸合成酶基因家族的分析与提高番茄耐逆特性的功能研究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金玉环</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黄先忠</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天山雪莲psaF基因低温光合保护机制的研究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郭新勇</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祝建波</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缝隙连接蛋白43在坎地沙坦改善肺动脉高压中的作用及其机制研究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贾奇花</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基础医学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司军强</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放松利率管制与实体 企业影子银行活动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刘园园</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工商管理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白俊</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Kir2.1在LPS/IL-4诱导的巨噬细胞M1/M2型极化过程中的作用研究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 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马克涛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新疆城镇带动乡村经济发展机制与效应研究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赵 朋</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农林经济管理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胡宜挺</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89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XJ2019G089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一种特异性检测MDA的新型探针在体内外的测试研究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 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8"/>
                <w:szCs w:val="18"/>
                <w:lang w:bidi="ar"/>
              </w:rPr>
              <w:t>孙世国、张波</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7"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应用于盐碱水处理的响应性环糊精基球形聚电解质刷的制备及其吸附/解吸机制的研究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闫佳宇</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刘志勇</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乙炔二聚气固反应的催化剂研究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李聪聪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代斌</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番茄红素对纳米二氧化钛致雄性小鼠生殖毒性的拮抗作用及机制研究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安红梅</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公共卫生与预防医学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宋关玲</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百里香精油对熏马肠加工过 程中脂质氧化、生物胺及亚硝胺调控的研究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黄笠原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食品科学与工程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卢士玲</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TMEM16A在SNI大鼠神经病理性疼痛中的作用机制研究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陈沁怡</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司军强</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基于SMS（地表水环境模拟系统）水质模型的蘑菇湖水库水环境评价及综合治理对策</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杨玉麟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水利工程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李俊峰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利率市场化与公司现金持有</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 卓</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工商管理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杨兴全</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棉田趋光性昆虫图像采集与害虫识别系统研究设计</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刘成康</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张若宇</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基于卷积神经网络整串红提葡萄成熟度检测研究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周文静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机械工程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吴杰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9"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99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XJ2019G099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“丝绸之路经济带”背景下新疆内外贸互动机制及协调发展研究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南楠</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应用经济学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程中海</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典型绿洲区长期膜下滴灌棉田残膜分布特征及对土壤水分入渗蒸发机理的影响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贾浩</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6"/>
                <w:szCs w:val="16"/>
                <w:lang w:bidi="ar"/>
              </w:rPr>
              <w:t>王振华、李文昊</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新现布尼亚病毒科成员-塔城病毒2临床感染病例检测方法的建立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赵硕</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基础医学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王远志</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嗜冷杆菌Cryobacterium sp. LW097低温β-半乳糖苷酶基因的分离鉴定及其酶学特性研究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王丽军</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农产品加工及贮藏工程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关波</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小白菊內酯对KSHV感染细胞增殖和凋亡影响的研究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李英</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李冬妹</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基于对溴苯硼酸参与构建Csp2-Csp2 键和Csp2-Csp3 键的反应研究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何静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0"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经典RAS在钙敏感受体介导高血压大鼠血管平滑肌细胞增殖重塑中的作用及机制研究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赵永丽</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基础医学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何芳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游离脂肪酸通过GPR40/GPR120激活p38-MAPK抑制KLF15表达的作用及机制研究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邓玉春</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5"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细粒棘球蚴感染对肝脏NK细胞IL-15信号通路的影响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王二强</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基础医学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陈雪玲</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新疆高校教师人力资本对科研产出的影响研究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梁晓雨</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苏荟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109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XJ2019G109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基于气体传感信息的新疆特色羊肉冷链运输货架期预测实证研究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刘静静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李志刚</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组织工程支架材料对组织生长因子缓释作用在椎体修复中的实验研究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王秉轩</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孙建华</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膨润土与生物炭复合缓释肥料的微波法制备及其性能研究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安雄芳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化学工程与技术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武占省</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采棉机传动系统液压机械无级变速器性能研究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鲍明喜</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机械工程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倪向东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0"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天山北麓中段综合干旱指数构建及干旱预测研究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杨宽</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水利工程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陈伏龙</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利用表达谱和蛋白质组学制备抗人CD36单克隆抗体的研究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张梦丹</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倪伟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大学生网络素养的培养研究——以新疆地区为例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陈雅俐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张红艳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巨噬细胞旁分泌TGF-β活化HIF-1α促进食管癌侵袭和转移的分子机制研究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李疆芬</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胡建明</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芦苇压缩特性及其压缩打包装置研究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陈可圣</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机械工程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张立新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PLCE1蛋白在新疆地区口腔鳞癌组织中的表达及其与患者预后的关系</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刘佳瑞</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口腔医学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徐江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119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XJ2019G119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随动式残膜回收机清杂系统研究与试验</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蒋德莉</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机械工程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陈学庚</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高活性酸奶发酵菌株筛选及特色产品研发</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蔡静静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食品科学与工程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倪永清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新疆养老护理员共情疲劳现状及其影响因素的研究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严思彤</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护理学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李萍</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机器学习结合Android手机病虫害棉叶的识别研究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雷声渊</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马本学</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密植枣园枝条粉碎还田关键技术研究与装置试制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雷世博</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6"/>
                <w:szCs w:val="16"/>
                <w:lang w:bidi="ar"/>
              </w:rPr>
              <w:t>李景彬、丁龙朋</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多伞阿魏树脂道结构、发育与油胶树脂分泌的关系研究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刘朦朦</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朱芸</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棉花植株介导的盐胁迫对牧草盲蝽的bottom-up生态效应</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马若涵</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植物保护</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王佩玲</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β-咔啉并咪唑衍生物的设计、合成及抗肿瘤活性研究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陈晓飞</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张洁</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新疆严寒地区太阳能联合空气源热泵复合供暖自动控制系统应用研究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徐鑫</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土木工程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李洁</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抗水型低温脱硝催化剂的研究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郭林</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曹鹏</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XJ2019G129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“微课”教学助推城乡教育资源均衡发展</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王贺</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学科教学（化学）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杨金凤</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研学旅行：高中学生地理实践力提升方法研究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张奎</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郭鹏</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石河子大学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棉花生殖细胞特异表达的CRRSPR/Cas9基因编辑体系的建立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雷建峰</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刘晓东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磁化含盐水滴灌土壤水盐运移规律试验研究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辛明亮</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水利工程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马英杰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新疆干旱区域地方绵羊品种的繁殖性状遗传机制及群体进化研究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王琼</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畜牧学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刘武军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新疆栽培杏驯化起源及亲缘关系研究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李雯雯</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园艺学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廖康</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5"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新疆褐牛&amp;安格斯肉牛肉品质性状差异与肠的相关性研究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陈卓</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畜牧学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姚刚</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陆地棉GhHSP70基因标记与表型性状关联分析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郭亚萍</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陈全家</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塔里木盆地南缘高氟高砷地下水形成机理与处理技术研究-以和田地区绿洲带为例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范薇</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水利工程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周金龙</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中国美利奴羊优化育种规划的研究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魏趁</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畜牧学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黄锡霞</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139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XJ2019G139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根际微生物对豆禾混播草地氮磷利用效率的影响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朱亚琼</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草学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张博，郑伟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天山北坡主要草地类型土壤细菌多样性分布格局及其影响因素</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草学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盛建东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马泰勒虫感染致Th1/Th2相关细胞因子变化及其抗感染作用的分子特性研究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宋瑞其</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畜牧学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2"/>
                <w:szCs w:val="12"/>
                <w:lang w:bidi="ar"/>
              </w:rPr>
              <w:t>巴音查汗·盖力克</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基于投影寻踪回归的低热水泥胶凝体系力学、热学综合性能优化研究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姜春萌</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水利工程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宫经伟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生物炭添加对水稻根际土有效态镉及微生物多样性的影响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刘师豆</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环境科学与工程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朱新萍</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伊犁、昌吉地区纯血马血清携带病毒的多样性研究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张敖云图雅</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兽医学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况玲</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花铃期增温对海岛棉产量形成及纤维品质影响的研究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陈振</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张巨松</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穴盘苗旱地移栽升降分段式自动取放苗装置设计</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杨文奇</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韩长杰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0.2</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耕地休耕的生态风险评价--以乌鲁木齐县为例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马相平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公共管理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刘新平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高原公路影响驾驶负荷的典型线型及结构要素分析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王进州</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交通运输工程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8"/>
                <w:szCs w:val="18"/>
                <w:lang w:bidi="ar"/>
              </w:rPr>
              <w:t>艾力•斯木吐拉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149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XJ2019G149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叶尔羌河流域土地生态脆弱性评价</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乌宁巴特</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公共管理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刘新平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适于沙漠区域日光温室应用的相变储能墙板的制备与性能测试</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李彦荣</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园艺学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林辰壹</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果胶基自修复智能水凝胶的构建</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王舒雅</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食品科学与工程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6"/>
                <w:szCs w:val="16"/>
                <w:lang w:bidi="ar"/>
              </w:rPr>
              <w:t>李德强，杜光明</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0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基于CRISPR/Cas9基因编辑技术和双报告分析系统建立快速筛选影响牛病毒腹泻病毒感染的宿主基因的方法</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胡新艳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兽医学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8"/>
                <w:szCs w:val="18"/>
                <w:lang w:bidi="ar"/>
              </w:rPr>
              <w:t>史慧君，付强</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性态变异的串珠老鹳草繁殖分配与性分配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张月明</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谭敦炎</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0"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不同抗冻保水剂对冷冻PSE肉及低温香肠品质的影响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刘广娟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食品科学与工程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王子荣</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LIS基因在薰衣草萜类花香成分生物合成中的表达分析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龚林涛</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苏秀娟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利用CRISPR/CAS9技术建立马MHC I类基因敲入型BHK细胞系</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郑学功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兽医学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冉多良</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0.2</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氮素供应对核桃幼苗根系呼吸的影响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李春萍</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林学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王世伟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改性对核桃谷蛋白结构表征及功能特性的影响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薛雨菲</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食品科学与工程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孔令明</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XJ2019G159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膜下滴灌量对复播大豆土壤水分运移和有机碳的影响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杜孝敬</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徐文修</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基于无人机影像的梭梭表型信息提取与模型研建</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许佳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农业资源与环境</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6"/>
                <w:szCs w:val="16"/>
                <w:lang w:bidi="ar"/>
              </w:rPr>
              <w:t>蒋平安，盛建东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新疆主要葡萄砧穗亲缘关系的分子生物学研究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彭媛媛</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园艺学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周龙</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生物炭与氮肥配施对冬小麦生长及土壤微环境的影响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高文翠</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杨卫君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苹果小吉丁虫飞行能力及自然扩散距离研究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马志龙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林学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8"/>
                <w:szCs w:val="18"/>
                <w:lang w:bidi="ar"/>
              </w:rPr>
              <w:t>阿地力•沙塔尔</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平原水库坝后截（导）渗体对坝后农田土壤水盐运移动态演化的影响研究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黄风</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水利工程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严新军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0.2</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基于机器视觉的杂草识别</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李彧</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郭俊先</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0.2</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哺乳动物睾丸发育相关基因在绵羊不同组织中表达规律的研究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马云</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畜牧学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刘武军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长期滴灌下棉田土壤盐分的变化—以南疆包头湖为例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范未华</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农业资源与环境</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盛建东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不同基质配方对瓜菜类蔬菜的影响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唐丹</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szCs w:val="24"/>
                <w:lang w:bidi="ar"/>
              </w:rPr>
              <w:t>农艺与种业</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秦勇</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0.2</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169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XJ2019G169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基于卷积神经网络的马匹别征识别算法研究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温志强</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冯向萍</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170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XJ2019G170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采后内生泛菌对库车小白杏软腐影响的研究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刘晓静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食品科学与工程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朱璇</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kern w:val="0"/>
                <w:szCs w:val="21"/>
                <w:lang w:bidi="ar"/>
              </w:rPr>
            </w:pPr>
            <w:r>
              <w:rPr>
                <w:rFonts w:hint="eastAsia" w:ascii="宋体" w:hAnsi="宋体" w:eastAsia="宋体" w:cs="宋体"/>
                <w:kern w:val="0"/>
                <w:sz w:val="24"/>
                <w:szCs w:val="24"/>
                <w:lang w:bidi="ar"/>
              </w:rPr>
              <w:t>171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kern w:val="0"/>
                <w:szCs w:val="21"/>
                <w:lang w:bidi="ar"/>
              </w:rPr>
            </w:pPr>
            <w:r>
              <w:rPr>
                <w:rFonts w:hint="eastAsia" w:ascii="宋体" w:hAnsi="宋体" w:eastAsia="宋体" w:cs="宋体"/>
                <w:kern w:val="0"/>
                <w:sz w:val="24"/>
                <w:szCs w:val="24"/>
                <w:lang w:bidi="ar"/>
              </w:rPr>
              <w:t>XJ2019G171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小麦非生物胁迫响应转录因子TabZIP15的功能研究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毕晨曦</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kern w:val="0"/>
                <w:szCs w:val="21"/>
                <w:lang w:bidi="ar"/>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kern w:val="0"/>
                <w:szCs w:val="21"/>
                <w:lang w:bidi="ar"/>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kern w:val="0"/>
                <w:szCs w:val="21"/>
                <w:lang w:bidi="ar"/>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kern w:val="0"/>
                <w:szCs w:val="21"/>
                <w:lang w:bidi="ar"/>
              </w:rPr>
            </w:pPr>
            <w:r>
              <w:rPr>
                <w:rFonts w:hint="eastAsia" w:ascii="宋体" w:hAnsi="宋体" w:eastAsia="宋体" w:cs="宋体"/>
                <w:kern w:val="0"/>
                <w:sz w:val="24"/>
                <w:szCs w:val="24"/>
                <w:lang w:bidi="ar"/>
              </w:rPr>
              <w:t>倪志勇</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kern w:val="0"/>
                <w:szCs w:val="21"/>
                <w:lang w:bidi="ar"/>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1"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172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XJ2019G172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干旱区平原水库“防-排-反滤-截-导”五原则的渗流控制计算模型研究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水利工程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严新军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0.2</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173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XJ2019G173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番茄渣及不同添加剂对玉米秸秆为主TMR青贮发酵品质和稳定性的影响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喀伊热·热合木江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草学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2"/>
                <w:szCs w:val="12"/>
                <w:lang w:bidi="ar"/>
              </w:rPr>
              <w:t>艾比布拉·伊马木</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0.2</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174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XJ2019G174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高低能量饲喂对不同体重组的阿勒泰大尾羊肠道微生物及肠黏膜免疫的影响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候萌</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兽医学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王金泉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新疆农业大学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175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XJ2019G175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IPF中长链非编码RNA的全基因表达谱分析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王凡</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李风森</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176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XJ2019G176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远志对“肾不藏志”不寐衰老大鼠下丘脑凋亡基因Bcl-2和Bax基因表达影响的实验研究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任小娟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张星平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177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XJ2019G177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新疆传统乳源性益生菌调节肠道菌群诱导结肠M2极化的抗糖尿病分子机制研究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王艳明</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新华•那比</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178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XJ2019G178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新疆紫草中羟基萘醌类化合物对艾氏腹水瘤小鼠的免疫调节作用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许芳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李建光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179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XJ2019G179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滑液炎症因子的表达对髁突骨质缺损的诊断意义</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贾梦莹</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龚忠诚</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维吾尔族成人牙周病的致病菌检测及易感基因研究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马婷</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口腔医学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赵今</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探讨CBX7在宫颈癌组织中的表达及其抑制宫颈癌细胞增殖的分子机制研究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田萍</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公共卫生与预防医学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张晨</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IDH1、PD-L1在人脑胶质瘤临床病理参数及预后分层中的研究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薛晶</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张巍</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NF-κB/Caspase-1介导的细胞焦亡（Pyroptosis）在老龄心肌缺血再灌注损伤中的作用机制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韩敏</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马依彤</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基于关节液D-二聚体的假体周围感染诊断效果评价</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姜任东</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曹力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1"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TGF-β1信号通路对胚胎肝前体细胞分化的影响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艾麦提·牙森</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温浩</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186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LncRNA-MALAT1在氧化应激所致急性心肌细胞损伤的分子机制研究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宋宁</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杨毅宁</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 xml:space="preserve">PD-1和PD-L1在局部晚期宫颈鳞癌患者中的表达及其预后影响因素 </w:t>
            </w:r>
            <w:r>
              <w:rPr>
                <w:rFonts w:hint="eastAsia" w:ascii="宋体" w:hAnsi="宋体" w:eastAsia="宋体" w:cs="宋体"/>
                <w:kern w:val="0"/>
                <w:sz w:val="24"/>
                <w:szCs w:val="24"/>
                <w:lang w:bidi="ar"/>
              </w:rPr>
              <w:t xml:space="preserve">     </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蔡鸿超</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王若峥</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PCM&amp;TAT双修饰田蓟苷脂质聚合物</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曾诚</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邢建国</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1.5</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189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XJ2019G189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中老年女性膳食、肠道菌群与骨质疏松症的关联研究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沈静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公共卫生与预防医学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肖辉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0.5</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牙周优势致病菌与辅助性Th17/Treg细胞相关关系的研究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于淑琪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口腔医学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陈晓涛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AMH、INH-B对隐睾患儿术后睾丸发育情况评估相关性研究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亚森江·阿布都拉</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李水学</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尿石素A（Urolithin A）通过miR-155-PPARγ信号改善糖尿病小鼠肝脏胰岛素抵抗的作用机制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田亚丽</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张嫣之</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基于网络药理学研究罗勒活性成分邻本二甲酸丁酯对阿尔茨海默病的作用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阿地力江·萨吾提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2"/>
                <w:szCs w:val="12"/>
                <w:lang w:bidi="ar"/>
              </w:rPr>
              <w:t>艾尼瓦尔·吾买尔</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CD147调控SREBPs影响宫颈癌细胞脂肪酸合成及侵袭迁移能力的实验研究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郭文涛</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基础医学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6"/>
                <w:szCs w:val="16"/>
                <w:lang w:bidi="ar"/>
              </w:rPr>
              <w:t>阿仙姑·哈斯木</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肌球蛋白ID对自噬溶酶体生成机制的研究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冯学召</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米娜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加速康复外科全膝关节置换康复护理模式构建及其效果评价</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韦欢欢</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护理学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王梅新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基于X射线相衬显微CT的肿瘤微血管网络研究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王坤</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szCs w:val="24"/>
                <w:lang w:bidi="ar"/>
              </w:rPr>
              <w:t>公共卫生与预防医学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张学良</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糖代谢中PI3K/Akt/GSK-3通路的动物实验研究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史浩楠</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公共卫生</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王婷婷</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1"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199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XJ2019G199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Ce6-PDT对结肠癌细胞骨架的影响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马海秀</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公共卫生</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康玲</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miR-10b通过Notch信号通路与乳腺浸润性导管癌侵袭转移的初探</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崔雅静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地力木拉提·艾斯木吐拉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纳秒脉冲治疗原发性肝癌后机体抗肿瘤免疫应答激活与增强的相关性研究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塔来提·吐尔干</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2"/>
                <w:szCs w:val="24"/>
                <w:lang w:bidi="ar"/>
              </w:rPr>
              <w:t>吐尔干艾力·阿吉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肉苁蓉苯乙醇总苷对人增生性瘢痕成纤维细胞基于TGF-β/Smad信号通路的机制研究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艾江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马少林</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Twist和Slug在食管鳞状细胞癌中的表达及对其预后的影响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许姗姗</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马遇庆</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8"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褪黑素对小鼠缺血/再灌注损伤中小胶质细胞的作用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沙达木·玉素英</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成晓江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左西孟旦对脓毒性心肌病家兔模型的舒缩功能的影响及机制研究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蒋晓芳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宋云林</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 xml:space="preserve">肝细胞癌中CBX7的表达研究及其对预后的影响   </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舒垠</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丁伟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基于Mimics的成人DDH髋关节三维重建及测量</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康朋</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18"/>
                <w:szCs w:val="18"/>
                <w:lang w:bidi="ar"/>
              </w:rPr>
              <w:t>艾尔肯•阿木冬</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重型颅脑损伤患者术后血清神经元特异性烯醇化酶变化特点与病情转归的相关性研究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努尔艾合麦提江•牙力昆</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木依提·阿不里米提</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209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XJ2019G209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3D导板在跟骨骨折手术中的应用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王玺喆</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张华</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医用臭氧联合透明质酸钠治疗颞下颌关节不可复性盘前移位的临床疗效分析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杨萍萍</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口腔医学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szCs w:val="24"/>
                <w:lang w:bidi="ar"/>
              </w:rPr>
              <w:t>买买提吐逊·吐尔地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有晶体眼后房型人工晶状体植入与飞秒激光LASIK术后的双通道系统视觉质量评价</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马春霞</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高晓唯</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生命早期铅暴露对孤独症谱系障碍的影响研究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张羽珊</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公共卫生与预防医学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阿斯木古丽</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基于贝叶斯网络的涂阳TB患者治疗2月末痰检阳性影响因素研究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古丽娜扎尔·艾克拜尔</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公共卫生</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曹明芹</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基于CT能谱成像的冠脉支架术后管腔通畅性的研究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刘倩</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邢艳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加速康复外科功能饮料在ERCP中的应用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2"/>
                <w:lang w:bidi="ar"/>
              </w:rPr>
              <w:t>穆热艾合买提江·穆塔里夫</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邵英梅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BRCA1拷贝数变异在三阴性乳腺癌中的临床意义</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李宇翔</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朱丽萍</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0.3</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探讨TCD在单侧痉挛型脑瘫患儿术后脑灌注的应用价值</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邓国棋</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临床医学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栾新平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新疆医科大学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专业学习共同体视阈下的教师知识管理路径研究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黄晓茜</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程良宏</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219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XJ2019G219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《路易•波拿巴的雾月十八》中的唯物史观方法论研究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潘诗扬</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马克思主义理论</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石路</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XJ2019G220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改革开放以来马克思主义人学研究的回溯与展望——基于citespace知识图谱的共词分析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张慧</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马克思主义理论</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石路</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XJ2019G221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智慧教室环境中师生互动特征及规律研究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江毅</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博士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1.2</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222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XJ2019G222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海藻酸钠-层状双氢氧化物微球的制备及其性能研究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陈艳玲</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化学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粟智</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XJ2019G223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大数据背景下隐私伦理问题研究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李亚薇</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周建鹏</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XJ2019G224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基于动态图像检测的火灾报警系统</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唐甜甜</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工程硕士</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陈炳才</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XJ2019G225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乌伦古河流域农业发展与生态环境变迁关系的研究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杨蕊先</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民族学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罗意</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9"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XJ2019G226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中哈边境意大利蝗不同地理种群遗传多样性研究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徐叶</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季荣</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XJ2019G227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明代丝路使臣研究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吴冰寒</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中国史</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施新荣</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XJ2019G228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基于改进植被指数的渭</w:t>
            </w:r>
            <w:r>
              <w:rPr>
                <w:rFonts w:ascii="Calibri" w:hAnsi="Calibri" w:eastAsia="宋体" w:cs="Calibri"/>
                <w:kern w:val="0"/>
                <w:sz w:val="24"/>
                <w:szCs w:val="24"/>
                <w:lang w:bidi="ar"/>
              </w:rPr>
              <w:t>-</w:t>
            </w:r>
            <w:r>
              <w:rPr>
                <w:rFonts w:hint="eastAsia" w:ascii="宋体" w:hAnsi="宋体" w:eastAsia="宋体" w:cs="宋体"/>
                <w:kern w:val="0"/>
                <w:sz w:val="24"/>
                <w:szCs w:val="24"/>
                <w:lang w:bidi="ar"/>
              </w:rPr>
              <w:t>库绿洲植被覆盖度反演及时空演变分析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边慧芹</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王雪梅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229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XJ2019G229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Li+、Yb3+共掺Lu2O3:Ho3+上转换发光性质研究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赵海琴</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物理学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王林香</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中华优秀传统文化视野下的幼儿园环境创设研究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谢瑞</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闵兰斌</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基于机器学习方法的谣言检测关键特征研究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周中月</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工程硕士</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张海军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Katugampola分数阶微分方程解的吸引性研究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陈星汝</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数学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顾海波</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特殊教育师范生教师职业成熟度的研究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李春悦</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张玉红</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新疆河流湿地两种锦鸡儿属植物种子萌发对水热的响应</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王璐瑶</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赵晓英</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精准扶贫背景下昭苏赛马产业发展模式研究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胡燕燕</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体育学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庞辉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4"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树轮记录的怒江源区气候水文变化及其对亚洲夏季风变化的响应</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陈友平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王勇辉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8"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贾谊赋对《庄子》的继承与创变研究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李怡蕾</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中国古代文学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魏娜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新疆旅游营地帐篷酒店设计与应用研究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施博阳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艺术设计</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李文浩</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239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XJ2019G239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PLLA/Gel/Ag复合纤维的构建及其性能的研究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成雪薇</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王英波</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BS-Z15次级活性物质对感染白色念珠菌小鼠的治疗作用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杨启林</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赵惠新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天山中段植被物候时空变化及其驱动因子分析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2"/>
                <w:lang w:bidi="ar"/>
              </w:rPr>
              <w:t>玛地尼亚提·地里夏提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地理学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lang w:bidi="ar"/>
              </w:rPr>
              <w:t>玉素甫江·如素力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8"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中红外波段（3-5μm）波长连续可调谐涡旋光源的研究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牛素俭</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物理学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lang w:bidi="ar"/>
              </w:rPr>
              <w:t>塔西买提·玉苏普</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高校宿舍集成家具的设计研究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刘禹铄</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艺术设计</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衣霄</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0.4</w:t>
            </w:r>
          </w:p>
        </w:tc>
        <w:tc>
          <w:tcPr>
            <w:tcW w:w="863" w:type="dxa"/>
            <w:tcBorders>
              <w:tl2br w:val="nil"/>
              <w:tr2bl w:val="nil"/>
            </w:tcBorders>
            <w:vAlign w:val="center"/>
          </w:tcPr>
          <w:p>
            <w:pPr>
              <w:widowControl/>
              <w:jc w:val="center"/>
              <w:textAlignment w:val="center"/>
            </w:pPr>
            <w:r>
              <w:rPr>
                <w:rFonts w:hint="eastAsia" w:ascii="宋体" w:hAnsi="宋体" w:eastAsia="宋体" w:cs="宋体"/>
                <w:kern w:val="0"/>
                <w:sz w:val="24"/>
                <w:szCs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偏微分方程在核磁共振图像信息压缩中的应用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代莹</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数学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肖冰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清光绪朝新疆州县文官任用中的授、署、候补</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宋俐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中国史</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施新荣</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新常态视域下服务型制造业全要素生产率的时空差异与影响因素研究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玛丽亚木·阿不都热合曼</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应用经济学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陈军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长短时记忆神经网络方法的研究及语音识别技术中的应用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蒋锐鹏</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数学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姑丽加玛丽·麦麦提艾力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“中巴经济走廊”建设背景下喀什国际物流发展对策研究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赵彤</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工商管理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张晟义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249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XJ2019G249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手机媒介对新疆大学生人际交往的传播研究——以新疆财经大学为例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陈文秀</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新闻传播学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张菊兰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250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XJ2019G250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基于数字足迹的新疆旅游形象官方宣传与游客感知对比研究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金红英</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工商管理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由亚男</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251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XJ2019G251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新疆绿色经济效率的时空格局演变及影响因素研究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田丰</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应用经济学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高志刚</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252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XJ2019G252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绿色发展、碳信息披露质量与企业财务绩效研究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孙振</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工商管理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李季鹏</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253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XJ2019G253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基于双层耦合网络模型的虚假信息扩散源点定位研究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于咏平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工商管理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于凯</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254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XJ2019G254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中国与周边陆路国家投资便利化水平比较分析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李雪艳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应用经济学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段秀芳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255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XJ2019G255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天山北坡城市群协同发展研究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张娜</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应用经济学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肖春梅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256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XJ2019G256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基于DNA编码及最优解的双混沌视频加密的研究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汪乐乐</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统计学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李国东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257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XJ2019G257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新疆区域生态经济投入效益测度及其动态演化分析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童思聪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理论经济学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高志刚</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highlight w:val="red"/>
              </w:rPr>
            </w:pPr>
            <w:r>
              <w:rPr>
                <w:rFonts w:hint="eastAsia" w:ascii="宋体" w:hAnsi="宋体" w:eastAsia="宋体" w:cs="宋体"/>
                <w:kern w:val="0"/>
                <w:sz w:val="24"/>
                <w:szCs w:val="24"/>
                <w:lang w:bidi="ar"/>
              </w:rPr>
              <w:t>258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XJ2019G258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“一带一路”建设对新疆能源发展的分析研究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统计学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李国东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259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XJ2019G259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新疆各地州金融生态与经济增长关联性的空间差异研究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吉萍</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应用经济学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周亚军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城市绿地功能与愉悦价值定量评价——基于乌鲁木齐的调查数据</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白亚娟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应用经济学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刘雅轩</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标识解说效度对游客地方依恋与重游意愿影响实证研究——以赛里木湖景区为例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梁霄</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工商管理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由亚男</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基于POI数据的乌鲁木齐城市边缘区空间结构演变及发展模式研究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姜祎</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应用统计硕士</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窦燕</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基于结构方程的商业银行顾客满意度测评——来自新疆自愿样本</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阚竹平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应用统计硕士</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陈小昆</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新疆旅游业创新创业影响因素研究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秦浩</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工商管理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李翠林</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lang w:bidi="ar"/>
              </w:rPr>
              <w:t>新疆财经大学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8"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土壤水盐胁迫及温度对无膜棉种子萌发的影响</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王洪博</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王兴鹏</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南疆薄皮核桃壳仁分离数值模拟试验研究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牛浩</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农业硕士</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张宏</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基于无人机遥感影像的南疆棉花叶面积指数反演模型研究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李艳慧</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姚江军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不同地下水埋深胡杨异形叶形态结构及光合水分生理随树高变化的研究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翟军团</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李志军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269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XJ2019G269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烯二炔类抗生素产生筛选及其产物挖掘</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马丽冉</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万传星</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十株放线菌新物种次生代谢潜力挖掘</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孙蓓蓓</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张利莉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胡杨异形叶中环状RNA的鉴定和功能预测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李才林</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赵利峰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香梨优斑螟热激蛋白基因对低温胁迫响应研究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王德钢</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园艺</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熊仁次</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8"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不同种植模式下枣棉间作复合系统养分的竞争及互补机制研究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李燕芳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作物学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万素梅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枣实生后代农艺学性状遗传分析</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陆琦文</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园艺</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吴翠云</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0"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创伤微环境鹿茸组织修复及再发育过程HGF/c-Met信号的表达</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芮雪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畜牧学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韩春梅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纪录片《塔里木河》叙事研究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曾洪玺</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 w:val="22"/>
                <w:szCs w:val="21"/>
              </w:rPr>
            </w:pPr>
            <w:r>
              <w:rPr>
                <w:rFonts w:hint="eastAsia" w:ascii="宋体" w:hAnsi="宋体" w:eastAsia="宋体" w:cs="宋体"/>
                <w:kern w:val="0"/>
                <w:sz w:val="22"/>
                <w:szCs w:val="24"/>
                <w:lang w:bidi="ar"/>
              </w:rPr>
              <w:t>新闻与传播</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肖涛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先进典型人物报道如何增强吸引力——以王瑟作品为例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黄吉春</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 w:val="22"/>
                <w:szCs w:val="21"/>
              </w:rPr>
            </w:pPr>
            <w:r>
              <w:rPr>
                <w:rFonts w:hint="eastAsia" w:ascii="宋体" w:hAnsi="宋体" w:eastAsia="宋体" w:cs="宋体"/>
                <w:kern w:val="0"/>
                <w:sz w:val="22"/>
                <w:szCs w:val="24"/>
                <w:lang w:bidi="ar"/>
              </w:rPr>
              <w:t>新闻与传播</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秀梅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基于虚拟水视角的新疆种植业结构优化研究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方芳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农业硕士</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马琼</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塔里木大学</w:t>
            </w:r>
          </w:p>
        </w:tc>
        <w:tc>
          <w:tcPr>
            <w:tcW w:w="809" w:type="dxa"/>
            <w:gridSpan w:val="2"/>
            <w:tcBorders>
              <w:tl2br w:val="nil"/>
              <w:tr2bl w:val="nil"/>
            </w:tcBorders>
            <w:shd w:val="clear" w:color="auto" w:fill="auto"/>
            <w:vAlign w:val="center"/>
          </w:tcPr>
          <w:p>
            <w:pPr>
              <w:jc w:val="center"/>
              <w:rPr>
                <w:rFonts w:ascii="Times New Roman" w:hAnsi="Times New Roman" w:eastAsia="宋体" w:cs="Times New Roman"/>
                <w:bCs/>
                <w:szCs w:val="21"/>
              </w:rPr>
            </w:pPr>
            <w:r>
              <w:rPr>
                <w:rFonts w:hint="eastAsia" w:ascii="宋体" w:hAnsi="宋体" w:eastAsia="宋体" w:cs="宋体"/>
                <w:kern w:val="0"/>
                <w:sz w:val="24"/>
                <w:szCs w:val="24"/>
                <w:lang w:bidi="ar"/>
              </w:rPr>
              <w:t>自筹</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279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XJ2019G279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“非遗+”背景下新疆纺织印染文创产品开发与设计研究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刘江雪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美术学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左红卫</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新疆艺术学院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敦煌壁画粉本对龟兹石窟艺术影响——以阿艾石窟“药师佛”图像为例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吕晓楠</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美术系</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李云</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新疆艺术学院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交融与变异:锡伯族“恰吾尔登”贝伦特征研究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郝丽娜</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音乐与舞蹈学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仲高</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新疆艺术学院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当代音乐创作中塔吉克族音乐元素的融合与发展</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种雪</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音乐系</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王宝龙</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新疆艺术学院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新时代背景下卫拉特蒙古族舞蹈“萨吾尔登”实践创作研究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李玥</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舞蹈</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杜渐</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新疆艺术学院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弘扬中华文化背景下博物馆美术教学实践探究——以吐鲁番博物馆为例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江帆</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美术学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szCs w:val="24"/>
                <w:lang w:bidi="ar"/>
              </w:rPr>
              <w:t>迪丽努尔.买买提</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新疆艺术学院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2"/>
                <w:szCs w:val="24"/>
                <w:lang w:bidi="ar"/>
              </w:rPr>
              <w:t>如何将纪录片的“过去式”转变为“过去进行时”——以《口述新疆艺术学院60年光辉历程》为例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孙伟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广播电视</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国盾</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新疆艺术学院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英国高中STEM教育改革对南疆职业技术教育发展的启示</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谭高贵</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韩芳</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喀什大学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基于语文核心素养的高中阅读教学研究--以K市为例</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张树苗</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张海燕</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喀什大学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金庸作品中的中华民族优秀传统文化内涵</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樊红玉</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中国语言文学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徐梅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喀什大学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289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XJ2019G289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汉维意愿情态的表达方式及其应用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黄晨</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中国语言文学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林青</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喀什大学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一种Cas9 free Crispr载体构建及其在拟南芥中的应用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马铭赛</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2"/>
                <w:szCs w:val="24"/>
                <w:lang w:bidi="ar"/>
              </w:rPr>
              <w:t>生物与医药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王玉涛，欧阳乐军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喀什大学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特殊医学用途配方食品在加速试验中营养成分的稳定性研究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杨行</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生物与医药</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王玉涛</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喀什大学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带有一般Logistic源的高维趋化系统解的有界性</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唐清泉</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数学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辛巧</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伊犁师范大学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稀土氧化物掺杂碳化硅陶瓷的性能研究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孔维静</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物理学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周恒为</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伊犁师范大学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2"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Sm3+敏化稀土掺杂钨酸盐的制备与发光性能的研究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胡斌</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物理学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 xml:space="preserve">周恒为 </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何晓燕</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伊犁师范大学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5"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PVME/PS共混体系相分离行为的液态簧振动力学谱的研究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云芳</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物理学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卫来</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伊犁师范大学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基于轨道角动量的涡旋电磁波微带阵列天线设计</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毛鹏荣</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物理学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郜参观</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伊犁师范大学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5"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297</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XJ2019G297</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Na3V2(PO4)2O2F正极材料的研究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谷振一</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物理学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何晓燕</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伊犁师范大学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8"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298</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XJ2019G298</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苍耳属恶性入侵种的种子萌发及幼苗生长对模拟增温和氧沉降的响应</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郎青</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生物学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赵玉</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伊犁师范大学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0"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299</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XJ2019G299</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伊宁市高中英语教师在职培训现状调查及培养策略研究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耿巧荣</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教育学</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刘惠萍</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伊犁师范大学</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0.8</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7"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300</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XJ2019G300</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微孔Cu2S热电材料制备工艺研究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胡宁</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材料工程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孙毅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昌吉学院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1"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301</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XJ2019G301</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硫化铅纳米晶的合成及性能研究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李新</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材料工程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郭福强</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昌吉学院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7"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302</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XJ2019G302</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间距可调控碳基材料的制备以及在双离子电容器中的应用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张亚敏</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材料工程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赖康荣</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昌吉学院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1"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303</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XJ2019G303</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氧化铕催化剂原位催化解聚棉杆木质素的策略与机理研究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董庆孟</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张宏喜</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昌吉学院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304</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XJ2019G304</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新型大分子阻燃固化剂的制备及在环氧树脂中应用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钟越</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赵秀峰</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昌吉学院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6"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305</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XJ2019G305</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低温烧结PbTe热电块体材料的工艺研究</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张占鹏</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材料工程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孙毅</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昌吉学院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3" w:hRule="atLeast"/>
          <w:jc w:val="center"/>
        </w:trPr>
        <w:tc>
          <w:tcPr>
            <w:tcW w:w="58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306</w:t>
            </w:r>
          </w:p>
        </w:tc>
        <w:tc>
          <w:tcPr>
            <w:tcW w:w="1456"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XJ2019G306</w:t>
            </w:r>
          </w:p>
        </w:tc>
        <w:tc>
          <w:tcPr>
            <w:tcW w:w="3481" w:type="dxa"/>
            <w:gridSpan w:val="3"/>
            <w:tcBorders>
              <w:tl2br w:val="nil"/>
              <w:tr2bl w:val="nil"/>
            </w:tcBorders>
            <w:shd w:val="clear" w:color="auto" w:fill="auto"/>
            <w:vAlign w:val="center"/>
          </w:tcPr>
          <w:p>
            <w:pPr>
              <w:widowControl/>
              <w:jc w:val="left"/>
              <w:textAlignment w:val="center"/>
            </w:pPr>
            <w:r>
              <w:rPr>
                <w:rFonts w:hint="eastAsia" w:ascii="宋体" w:hAnsi="宋体" w:eastAsia="宋体" w:cs="宋体"/>
                <w:kern w:val="0"/>
                <w:sz w:val="24"/>
                <w:szCs w:val="24"/>
                <w:lang w:bidi="ar"/>
              </w:rPr>
              <w:t>石墨烯基复合材料在污水处理中的研究与应用</w:t>
            </w:r>
          </w:p>
        </w:tc>
        <w:tc>
          <w:tcPr>
            <w:tcW w:w="1400" w:type="dxa"/>
            <w:gridSpan w:val="3"/>
            <w:tcBorders>
              <w:tl2br w:val="nil"/>
              <w:tr2bl w:val="nil"/>
            </w:tcBorders>
            <w:shd w:val="clear" w:color="auto" w:fill="auto"/>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熊攀</w:t>
            </w:r>
          </w:p>
        </w:tc>
        <w:tc>
          <w:tcPr>
            <w:tcW w:w="820"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w:t>
            </w:r>
          </w:p>
        </w:tc>
        <w:tc>
          <w:tcPr>
            <w:tcW w:w="1321" w:type="dxa"/>
            <w:gridSpan w:val="3"/>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实践项目</w:t>
            </w:r>
          </w:p>
        </w:tc>
        <w:tc>
          <w:tcPr>
            <w:tcW w:w="105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敬科举</w:t>
            </w:r>
          </w:p>
        </w:tc>
        <w:tc>
          <w:tcPr>
            <w:tcW w:w="1631" w:type="dxa"/>
            <w:gridSpan w:val="4"/>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昌吉学院</w:t>
            </w:r>
          </w:p>
        </w:tc>
        <w:tc>
          <w:tcPr>
            <w:tcW w:w="809"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3" w:hRule="atLeast"/>
          <w:jc w:val="center"/>
        </w:trPr>
        <w:tc>
          <w:tcPr>
            <w:tcW w:w="589" w:type="dxa"/>
            <w:tcBorders>
              <w:tl2br w:val="nil"/>
              <w:tr2bl w:val="nil"/>
            </w:tcBorders>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307</w:t>
            </w:r>
          </w:p>
        </w:tc>
        <w:tc>
          <w:tcPr>
            <w:tcW w:w="1456" w:type="dxa"/>
            <w:gridSpan w:val="2"/>
            <w:tcBorders>
              <w:tl2br w:val="nil"/>
              <w:tr2bl w:val="nil"/>
            </w:tcBorders>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XJ2019G307</w:t>
            </w:r>
          </w:p>
        </w:tc>
        <w:tc>
          <w:tcPr>
            <w:tcW w:w="3481" w:type="dxa"/>
            <w:gridSpan w:val="3"/>
            <w:tcBorders>
              <w:tl2br w:val="nil"/>
              <w:tr2bl w:val="nil"/>
            </w:tcBorders>
            <w:vAlign w:val="center"/>
          </w:tcPr>
          <w:p>
            <w:pPr>
              <w:widowControl/>
              <w:jc w:val="left"/>
              <w:textAlignment w:val="center"/>
            </w:pPr>
            <w:r>
              <w:rPr>
                <w:rFonts w:hint="eastAsia" w:ascii="宋体" w:hAnsi="宋体" w:eastAsia="宋体" w:cs="宋体"/>
                <w:kern w:val="0"/>
                <w:sz w:val="24"/>
                <w:szCs w:val="24"/>
                <w:lang w:bidi="ar"/>
              </w:rPr>
              <w:t>一步原位法合成还原态g-C3N4及其光催化性能的研究</w:t>
            </w:r>
          </w:p>
        </w:tc>
        <w:tc>
          <w:tcPr>
            <w:tcW w:w="1400" w:type="dxa"/>
            <w:gridSpan w:val="3"/>
            <w:tcBorders>
              <w:tl2br w:val="nil"/>
              <w:tr2bl w:val="nil"/>
            </w:tcBorders>
            <w:vAlign w:val="center"/>
          </w:tcPr>
          <w:p>
            <w:pPr>
              <w:widowControl/>
              <w:jc w:val="center"/>
              <w:textAlignment w:val="center"/>
              <w:rPr>
                <w:rFonts w:ascii="Times New Roman" w:hAnsi="Times New Roman" w:cs="Times New Roman"/>
                <w:bCs/>
                <w:szCs w:val="21"/>
              </w:rPr>
            </w:pPr>
            <w:r>
              <w:rPr>
                <w:rFonts w:hint="eastAsia" w:ascii="宋体" w:hAnsi="宋体" w:eastAsia="宋体" w:cs="宋体"/>
                <w:kern w:val="0"/>
                <w:sz w:val="24"/>
                <w:szCs w:val="24"/>
                <w:lang w:bidi="ar"/>
              </w:rPr>
              <w:t>唐利娜</w:t>
            </w:r>
          </w:p>
        </w:tc>
        <w:tc>
          <w:tcPr>
            <w:tcW w:w="820" w:type="dxa"/>
            <w:gridSpan w:val="3"/>
            <w:tcBorders>
              <w:tl2br w:val="nil"/>
              <w:tr2bl w:val="nil"/>
            </w:tcBorders>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硕士</w:t>
            </w:r>
          </w:p>
        </w:tc>
        <w:tc>
          <w:tcPr>
            <w:tcW w:w="1203" w:type="dxa"/>
            <w:gridSpan w:val="2"/>
            <w:tcBorders>
              <w:tl2br w:val="nil"/>
              <w:tr2bl w:val="nil"/>
            </w:tcBorders>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化学工程</w:t>
            </w:r>
          </w:p>
        </w:tc>
        <w:tc>
          <w:tcPr>
            <w:tcW w:w="1321" w:type="dxa"/>
            <w:gridSpan w:val="3"/>
            <w:tcBorders>
              <w:tl2br w:val="nil"/>
              <w:tr2bl w:val="nil"/>
            </w:tcBorders>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科研项目</w:t>
            </w:r>
          </w:p>
        </w:tc>
        <w:tc>
          <w:tcPr>
            <w:tcW w:w="1052" w:type="dxa"/>
            <w:gridSpan w:val="2"/>
            <w:tcBorders>
              <w:tl2br w:val="nil"/>
              <w:tr2bl w:val="nil"/>
            </w:tcBorders>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李建辉</w:t>
            </w:r>
          </w:p>
        </w:tc>
        <w:tc>
          <w:tcPr>
            <w:tcW w:w="1631" w:type="dxa"/>
            <w:gridSpan w:val="4"/>
            <w:tcBorders>
              <w:tl2br w:val="nil"/>
              <w:tr2bl w:val="nil"/>
            </w:tcBorders>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昌吉学院</w:t>
            </w:r>
          </w:p>
        </w:tc>
        <w:tc>
          <w:tcPr>
            <w:tcW w:w="809" w:type="dxa"/>
            <w:gridSpan w:val="2"/>
            <w:tcBorders>
              <w:tl2br w:val="nil"/>
              <w:tr2bl w:val="nil"/>
            </w:tcBorders>
            <w:vAlign w:val="center"/>
          </w:tcPr>
          <w:p>
            <w:pPr>
              <w:widowControl/>
              <w:jc w:val="center"/>
              <w:textAlignment w:val="center"/>
              <w:rPr>
                <w:rFonts w:ascii="Times New Roman" w:hAnsi="Times New Roman" w:eastAsia="宋体" w:cs="Times New Roman"/>
                <w:bCs/>
                <w:szCs w:val="21"/>
              </w:rPr>
            </w:pPr>
            <w:r>
              <w:rPr>
                <w:rFonts w:hint="eastAsia" w:ascii="宋体" w:hAnsi="宋体" w:eastAsia="宋体" w:cs="宋体"/>
                <w:kern w:val="0"/>
                <w:sz w:val="24"/>
                <w:szCs w:val="24"/>
                <w:lang w:bidi="ar"/>
              </w:rPr>
              <w:t>0.6</w:t>
            </w:r>
          </w:p>
        </w:tc>
        <w:tc>
          <w:tcPr>
            <w:tcW w:w="863" w:type="dxa"/>
            <w:tcBorders>
              <w:tl2br w:val="nil"/>
              <w:tr2bl w:val="nil"/>
            </w:tcBorders>
            <w:vAlign w:val="center"/>
          </w:tcPr>
          <w:p>
            <w:pPr>
              <w:jc w:val="center"/>
            </w:pPr>
            <w:r>
              <w:rPr>
                <w:rFonts w:hint="eastAsia" w:ascii="宋体" w:hAnsi="宋体" w:eastAsia="宋体" w:cs="宋体"/>
                <w:kern w:val="0"/>
                <w:sz w:val="24"/>
                <w:szCs w:val="24"/>
                <w:lang w:bidi="ar"/>
              </w:rPr>
              <w:t>0</w:t>
            </w:r>
          </w:p>
        </w:tc>
      </w:tr>
    </w:tbl>
    <w:p>
      <w:pPr>
        <w:spacing w:line="600" w:lineRule="exact"/>
        <w:rPr>
          <w:rFonts w:ascii="Times New Roman" w:hAnsi="Times New Roman" w:eastAsia="仿宋" w:cs="Times New Roman"/>
          <w:snapToGrid w:val="0"/>
          <w:kern w:val="0"/>
          <w:sz w:val="32"/>
          <w:szCs w:val="32"/>
        </w:rPr>
      </w:pPr>
    </w:p>
    <w:p>
      <w:pPr>
        <w:spacing w:line="600" w:lineRule="exact"/>
        <w:rPr>
          <w:rFonts w:ascii="Times New Roman" w:hAnsi="Times New Roman" w:eastAsia="仿宋" w:cs="Times New Roman"/>
          <w:snapToGrid w:val="0"/>
          <w:kern w:val="0"/>
          <w:sz w:val="32"/>
          <w:szCs w:val="32"/>
        </w:rPr>
        <w:sectPr>
          <w:pgSz w:w="16838" w:h="11906" w:orient="landscape"/>
          <w:pgMar w:top="1417" w:right="1134" w:bottom="1247" w:left="1134" w:header="851" w:footer="992" w:gutter="0"/>
          <w:cols w:space="0" w:num="1"/>
          <w:docGrid w:type="lines" w:linePitch="312" w:charSpace="0"/>
        </w:sectPr>
      </w:pPr>
    </w:p>
    <w:p>
      <w:pPr>
        <w:spacing w:line="580" w:lineRule="exact"/>
        <w:rPr>
          <w:rFonts w:ascii="Times New Roman" w:hAnsi="Times New Roman" w:eastAsia="楷体" w:cs="Times New Roman"/>
          <w:sz w:val="32"/>
          <w:szCs w:val="32"/>
        </w:rPr>
      </w:pPr>
    </w:p>
    <w:sectPr>
      <w:pgSz w:w="11906" w:h="16838"/>
      <w:pgMar w:top="2098" w:right="1474" w:bottom="181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体">
    <w:altName w:val="仿宋"/>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232856"/>
    </w:sdtPr>
    <w:sdtEndPr>
      <w:rPr>
        <w:rFonts w:asciiTheme="minorEastAsia" w:hAnsiTheme="minorEastAsia"/>
        <w:sz w:val="28"/>
        <w:szCs w:val="28"/>
      </w:rPr>
    </w:sdtEndPr>
    <w:sdtContent>
      <w:p>
        <w:pPr>
          <w:pStyle w:val="4"/>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39</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787822564"/>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649FF"/>
    <w:rsid w:val="0000442F"/>
    <w:rsid w:val="0004687F"/>
    <w:rsid w:val="000771F3"/>
    <w:rsid w:val="000E2B37"/>
    <w:rsid w:val="000F685D"/>
    <w:rsid w:val="001044AA"/>
    <w:rsid w:val="00114942"/>
    <w:rsid w:val="001C2FF9"/>
    <w:rsid w:val="00213EE5"/>
    <w:rsid w:val="00292B63"/>
    <w:rsid w:val="002A211C"/>
    <w:rsid w:val="002D0062"/>
    <w:rsid w:val="003069CD"/>
    <w:rsid w:val="00371121"/>
    <w:rsid w:val="003831BD"/>
    <w:rsid w:val="003978E8"/>
    <w:rsid w:val="003A05FF"/>
    <w:rsid w:val="003A4045"/>
    <w:rsid w:val="003B226A"/>
    <w:rsid w:val="003B59DE"/>
    <w:rsid w:val="003F0FDB"/>
    <w:rsid w:val="003F1C38"/>
    <w:rsid w:val="003F2C65"/>
    <w:rsid w:val="004021F2"/>
    <w:rsid w:val="0042452E"/>
    <w:rsid w:val="004625A5"/>
    <w:rsid w:val="004A265A"/>
    <w:rsid w:val="004D266D"/>
    <w:rsid w:val="00500DE4"/>
    <w:rsid w:val="00510159"/>
    <w:rsid w:val="005277E5"/>
    <w:rsid w:val="00563942"/>
    <w:rsid w:val="005A6CEC"/>
    <w:rsid w:val="005C0C42"/>
    <w:rsid w:val="005C642E"/>
    <w:rsid w:val="005D5BCA"/>
    <w:rsid w:val="00652C2D"/>
    <w:rsid w:val="006F74D7"/>
    <w:rsid w:val="00703AEE"/>
    <w:rsid w:val="00790A3F"/>
    <w:rsid w:val="007C03AD"/>
    <w:rsid w:val="007F72B4"/>
    <w:rsid w:val="00965E27"/>
    <w:rsid w:val="00995073"/>
    <w:rsid w:val="009A3FF3"/>
    <w:rsid w:val="009B7042"/>
    <w:rsid w:val="009C1F18"/>
    <w:rsid w:val="009D572C"/>
    <w:rsid w:val="00A42B6A"/>
    <w:rsid w:val="00A80442"/>
    <w:rsid w:val="00A96AAC"/>
    <w:rsid w:val="00AA5029"/>
    <w:rsid w:val="00AA526B"/>
    <w:rsid w:val="00AC336E"/>
    <w:rsid w:val="00AF7EB0"/>
    <w:rsid w:val="00B037B6"/>
    <w:rsid w:val="00B260F2"/>
    <w:rsid w:val="00B47617"/>
    <w:rsid w:val="00B535F4"/>
    <w:rsid w:val="00B67CD5"/>
    <w:rsid w:val="00B911DB"/>
    <w:rsid w:val="00BD12FA"/>
    <w:rsid w:val="00BD3EF0"/>
    <w:rsid w:val="00C41D0C"/>
    <w:rsid w:val="00C87F85"/>
    <w:rsid w:val="00CB34FC"/>
    <w:rsid w:val="00CC784A"/>
    <w:rsid w:val="00CD2418"/>
    <w:rsid w:val="00D0396E"/>
    <w:rsid w:val="00D07C63"/>
    <w:rsid w:val="00D51143"/>
    <w:rsid w:val="00D6289A"/>
    <w:rsid w:val="00D672F3"/>
    <w:rsid w:val="00D944C6"/>
    <w:rsid w:val="00D961E0"/>
    <w:rsid w:val="00DA4104"/>
    <w:rsid w:val="00E0177F"/>
    <w:rsid w:val="00E5542F"/>
    <w:rsid w:val="00E80C43"/>
    <w:rsid w:val="00F021E3"/>
    <w:rsid w:val="00F07085"/>
    <w:rsid w:val="00F11407"/>
    <w:rsid w:val="00F245E3"/>
    <w:rsid w:val="00F55D89"/>
    <w:rsid w:val="00F8658B"/>
    <w:rsid w:val="00FE2586"/>
    <w:rsid w:val="01E4481E"/>
    <w:rsid w:val="059228B1"/>
    <w:rsid w:val="05C61737"/>
    <w:rsid w:val="05D672E7"/>
    <w:rsid w:val="080900C6"/>
    <w:rsid w:val="08A8208B"/>
    <w:rsid w:val="09E8190C"/>
    <w:rsid w:val="0A0119DB"/>
    <w:rsid w:val="0D541070"/>
    <w:rsid w:val="0F3407E4"/>
    <w:rsid w:val="0FC0005A"/>
    <w:rsid w:val="10CD36FA"/>
    <w:rsid w:val="11CD0F22"/>
    <w:rsid w:val="12F300BB"/>
    <w:rsid w:val="13715F51"/>
    <w:rsid w:val="14DD6E03"/>
    <w:rsid w:val="152475E5"/>
    <w:rsid w:val="166A428D"/>
    <w:rsid w:val="1849228F"/>
    <w:rsid w:val="18560D6A"/>
    <w:rsid w:val="1CDA38D2"/>
    <w:rsid w:val="1FC17E30"/>
    <w:rsid w:val="20B161DC"/>
    <w:rsid w:val="219448F1"/>
    <w:rsid w:val="24A9739D"/>
    <w:rsid w:val="24AA3829"/>
    <w:rsid w:val="24D82059"/>
    <w:rsid w:val="268A4569"/>
    <w:rsid w:val="27112518"/>
    <w:rsid w:val="293407B9"/>
    <w:rsid w:val="297B191B"/>
    <w:rsid w:val="2A013655"/>
    <w:rsid w:val="2BB50163"/>
    <w:rsid w:val="3036475D"/>
    <w:rsid w:val="34367C73"/>
    <w:rsid w:val="38710ACA"/>
    <w:rsid w:val="394374AB"/>
    <w:rsid w:val="398A5620"/>
    <w:rsid w:val="3A540A7A"/>
    <w:rsid w:val="3A7D1F49"/>
    <w:rsid w:val="3F490191"/>
    <w:rsid w:val="40107ED9"/>
    <w:rsid w:val="40CB38AA"/>
    <w:rsid w:val="40F552C6"/>
    <w:rsid w:val="42547189"/>
    <w:rsid w:val="426F6C29"/>
    <w:rsid w:val="432F6670"/>
    <w:rsid w:val="43DF5DB7"/>
    <w:rsid w:val="45115E8C"/>
    <w:rsid w:val="4761392E"/>
    <w:rsid w:val="47B7779F"/>
    <w:rsid w:val="48B20F75"/>
    <w:rsid w:val="49051C00"/>
    <w:rsid w:val="4A7940CF"/>
    <w:rsid w:val="4A8C4FEA"/>
    <w:rsid w:val="4AAC68A0"/>
    <w:rsid w:val="4E5D15F3"/>
    <w:rsid w:val="4E8037B3"/>
    <w:rsid w:val="4EC0452B"/>
    <w:rsid w:val="4FAC6690"/>
    <w:rsid w:val="50C06934"/>
    <w:rsid w:val="51370D9B"/>
    <w:rsid w:val="52034A67"/>
    <w:rsid w:val="529D3B41"/>
    <w:rsid w:val="542B0437"/>
    <w:rsid w:val="552F3D72"/>
    <w:rsid w:val="56B616FC"/>
    <w:rsid w:val="56CA3462"/>
    <w:rsid w:val="57FC4C8A"/>
    <w:rsid w:val="59E73686"/>
    <w:rsid w:val="5A5378F0"/>
    <w:rsid w:val="5D3649FF"/>
    <w:rsid w:val="60FB0630"/>
    <w:rsid w:val="6485409A"/>
    <w:rsid w:val="66227FF8"/>
    <w:rsid w:val="66E24111"/>
    <w:rsid w:val="696758FD"/>
    <w:rsid w:val="6991491C"/>
    <w:rsid w:val="6C1251B7"/>
    <w:rsid w:val="6D76145B"/>
    <w:rsid w:val="6F9E266E"/>
    <w:rsid w:val="7134332F"/>
    <w:rsid w:val="71C65FE1"/>
    <w:rsid w:val="734131EE"/>
    <w:rsid w:val="734E4450"/>
    <w:rsid w:val="73F61EC8"/>
    <w:rsid w:val="74520395"/>
    <w:rsid w:val="74F47E4D"/>
    <w:rsid w:val="766F787C"/>
    <w:rsid w:val="771B1633"/>
    <w:rsid w:val="78904593"/>
    <w:rsid w:val="7A95701C"/>
    <w:rsid w:val="7CB91F94"/>
    <w:rsid w:val="7D931DF9"/>
    <w:rsid w:val="7DDB3143"/>
    <w:rsid w:val="7F395A93"/>
    <w:rsid w:val="7F404824"/>
    <w:rsid w:val="7F691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批注框文本 Char"/>
    <w:basedOn w:val="7"/>
    <w:link w:val="3"/>
    <w:qFormat/>
    <w:uiPriority w:val="0"/>
    <w:rPr>
      <w:kern w:val="2"/>
      <w:sz w:val="18"/>
      <w:szCs w:val="18"/>
    </w:rPr>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99"/>
    <w:rPr>
      <w:kern w:val="2"/>
      <w:sz w:val="18"/>
      <w:szCs w:val="18"/>
    </w:rPr>
  </w:style>
  <w:style w:type="character" w:customStyle="1" w:styleId="13">
    <w:name w:val="font121"/>
    <w:basedOn w:val="7"/>
    <w:qFormat/>
    <w:uiPriority w:val="0"/>
    <w:rPr>
      <w:rFonts w:hint="default" w:ascii="Times New Roman" w:hAnsi="Times New Roman" w:cs="Times New Roman"/>
      <w:color w:val="000000"/>
      <w:sz w:val="28"/>
      <w:szCs w:val="28"/>
      <w:u w:val="none"/>
    </w:rPr>
  </w:style>
  <w:style w:type="character" w:customStyle="1" w:styleId="14">
    <w:name w:val="font111"/>
    <w:basedOn w:val="7"/>
    <w:qFormat/>
    <w:uiPriority w:val="0"/>
    <w:rPr>
      <w:rFonts w:hint="default" w:ascii="Times New Roman" w:hAnsi="Times New Roman" w:cs="Times New Roman"/>
      <w:color w:val="000000"/>
      <w:sz w:val="22"/>
      <w:szCs w:val="22"/>
      <w:u w:val="none"/>
    </w:rPr>
  </w:style>
  <w:style w:type="character" w:customStyle="1" w:styleId="15">
    <w:name w:val="font01"/>
    <w:basedOn w:val="7"/>
    <w:qFormat/>
    <w:uiPriority w:val="0"/>
    <w:rPr>
      <w:rFonts w:hint="eastAsia" w:ascii="宋体" w:hAnsi="宋体" w:eastAsia="宋体" w:cs="宋体"/>
      <w:b/>
      <w:color w:val="000000"/>
      <w:sz w:val="20"/>
      <w:szCs w:val="20"/>
      <w:u w:val="none"/>
    </w:rPr>
  </w:style>
  <w:style w:type="character" w:customStyle="1" w:styleId="16">
    <w:name w:val="font41"/>
    <w:basedOn w:val="7"/>
    <w:qFormat/>
    <w:uiPriority w:val="0"/>
    <w:rPr>
      <w:rFonts w:hint="eastAsia" w:ascii="宋体" w:hAnsi="宋体" w:eastAsia="宋体" w:cs="宋体"/>
      <w:color w:val="000000"/>
      <w:sz w:val="20"/>
      <w:szCs w:val="20"/>
      <w:u w:val="none"/>
    </w:rPr>
  </w:style>
  <w:style w:type="character" w:customStyle="1" w:styleId="17">
    <w:name w:val="font71"/>
    <w:basedOn w:val="7"/>
    <w:qFormat/>
    <w:uiPriority w:val="0"/>
    <w:rPr>
      <w:rFonts w:hint="eastAsia" w:ascii="宋体" w:hAnsi="宋体" w:eastAsia="宋体" w:cs="宋体"/>
      <w:b/>
      <w:color w:val="000000"/>
      <w:sz w:val="20"/>
      <w:szCs w:val="20"/>
      <w:u w:val="none"/>
    </w:rPr>
  </w:style>
  <w:style w:type="character" w:customStyle="1" w:styleId="18">
    <w:name w:val="font21"/>
    <w:basedOn w:val="7"/>
    <w:qFormat/>
    <w:uiPriority w:val="0"/>
    <w:rPr>
      <w:rFonts w:hint="eastAsia" w:ascii="宋体" w:hAnsi="宋体" w:eastAsia="宋体" w:cs="宋体"/>
      <w:color w:val="000000"/>
      <w:sz w:val="22"/>
      <w:szCs w:val="22"/>
      <w:u w:val="none"/>
    </w:rPr>
  </w:style>
  <w:style w:type="character" w:customStyle="1" w:styleId="19">
    <w:name w:val="font81"/>
    <w:basedOn w:val="7"/>
    <w:qFormat/>
    <w:uiPriority w:val="0"/>
    <w:rPr>
      <w:rFonts w:hint="eastAsia" w:ascii="宋体" w:hAnsi="宋体" w:eastAsia="宋体" w:cs="宋体"/>
      <w:color w:val="000000"/>
      <w:sz w:val="22"/>
      <w:szCs w:val="22"/>
      <w:u w:val="none"/>
    </w:rPr>
  </w:style>
  <w:style w:type="character" w:customStyle="1" w:styleId="20">
    <w:name w:val="标题 1 Char"/>
    <w:basedOn w:val="7"/>
    <w:link w:val="2"/>
    <w:qFormat/>
    <w:uiPriority w:val="9"/>
    <w:rPr>
      <w:rFonts w:ascii="宋体" w:hAnsi="宋体" w:eastAsia="宋体" w:cs="宋体"/>
      <w:b/>
      <w:bCs/>
      <w:kern w:val="36"/>
      <w:sz w:val="48"/>
      <w:szCs w:val="48"/>
    </w:rPr>
  </w:style>
  <w:style w:type="character" w:customStyle="1" w:styleId="21">
    <w:name w:val="font31"/>
    <w:basedOn w:val="7"/>
    <w:qFormat/>
    <w:uiPriority w:val="0"/>
    <w:rPr>
      <w:rFonts w:hint="eastAsia" w:ascii="宋体" w:hAnsi="宋体" w:eastAsia="宋体" w:cs="宋体"/>
      <w:color w:val="000000"/>
      <w:sz w:val="24"/>
      <w:szCs w:val="24"/>
      <w:u w:val="none"/>
    </w:rPr>
  </w:style>
  <w:style w:type="character" w:customStyle="1" w:styleId="22">
    <w:name w:val="font101"/>
    <w:basedOn w:val="7"/>
    <w:qFormat/>
    <w:uiPriority w:val="0"/>
    <w:rPr>
      <w:rFonts w:hint="eastAsia" w:ascii="宋体" w:hAnsi="宋体" w:eastAsia="宋体" w:cs="宋体"/>
      <w:color w:val="000000"/>
      <w:sz w:val="22"/>
      <w:szCs w:val="22"/>
      <w:u w:val="none"/>
    </w:rPr>
  </w:style>
  <w:style w:type="character" w:customStyle="1" w:styleId="23">
    <w:name w:val="font112"/>
    <w:basedOn w:val="7"/>
    <w:qFormat/>
    <w:uiPriority w:val="0"/>
    <w:rPr>
      <w:rFonts w:hint="eastAsia" w:ascii="宋体" w:hAnsi="宋体" w:eastAsia="宋体" w:cs="宋体"/>
      <w:color w:val="000000"/>
      <w:sz w:val="22"/>
      <w:szCs w:val="22"/>
      <w:u w:val="none"/>
    </w:rPr>
  </w:style>
  <w:style w:type="character" w:customStyle="1" w:styleId="24">
    <w:name w:val="font11"/>
    <w:basedOn w:val="7"/>
    <w:qFormat/>
    <w:uiPriority w:val="0"/>
    <w:rPr>
      <w:rFonts w:ascii="Calibri" w:hAnsi="Calibri" w:cs="Calibri"/>
      <w:color w:val="000000"/>
      <w:sz w:val="22"/>
      <w:szCs w:val="22"/>
      <w:u w:val="none"/>
    </w:rPr>
  </w:style>
  <w:style w:type="character" w:customStyle="1" w:styleId="25">
    <w:name w:val="font201"/>
    <w:basedOn w:val="7"/>
    <w:qFormat/>
    <w:uiPriority w:val="0"/>
    <w:rPr>
      <w:rFonts w:hint="default" w:ascii="Times New Roman" w:hAnsi="Times New Roman" w:cs="Times New Roman"/>
      <w:color w:val="000000"/>
      <w:sz w:val="22"/>
      <w:szCs w:val="22"/>
      <w:u w:val="none"/>
    </w:rPr>
  </w:style>
  <w:style w:type="character" w:customStyle="1" w:styleId="26">
    <w:name w:val="font191"/>
    <w:basedOn w:val="7"/>
    <w:qFormat/>
    <w:uiPriority w:val="0"/>
    <w:rPr>
      <w:rFonts w:hint="default" w:ascii="仿宋体" w:hAnsi="仿宋体" w:cs="仿宋体"/>
      <w:color w:val="000000"/>
      <w:sz w:val="22"/>
      <w:szCs w:val="22"/>
      <w:u w:val="none"/>
    </w:rPr>
  </w:style>
  <w:style w:type="character" w:customStyle="1" w:styleId="27">
    <w:name w:val="font91"/>
    <w:basedOn w:val="7"/>
    <w:qFormat/>
    <w:uiPriority w:val="0"/>
    <w:rPr>
      <w:rFonts w:hint="eastAsia" w:ascii="宋体" w:hAnsi="宋体" w:eastAsia="宋体" w:cs="宋体"/>
      <w:color w:val="000000"/>
      <w:sz w:val="24"/>
      <w:szCs w:val="24"/>
      <w:u w:val="none"/>
    </w:rPr>
  </w:style>
  <w:style w:type="character" w:customStyle="1" w:styleId="28">
    <w:name w:val="font61"/>
    <w:basedOn w:val="7"/>
    <w:qFormat/>
    <w:uiPriority w:val="0"/>
    <w:rPr>
      <w:rFonts w:hint="eastAsia" w:ascii="宋体" w:hAnsi="宋体" w:eastAsia="宋体" w:cs="宋体"/>
      <w:color w:val="000000"/>
      <w:sz w:val="24"/>
      <w:szCs w:val="24"/>
      <w:u w:val="none"/>
    </w:rPr>
  </w:style>
  <w:style w:type="character" w:customStyle="1" w:styleId="29">
    <w:name w:val="font51"/>
    <w:basedOn w:val="7"/>
    <w:qFormat/>
    <w:uiPriority w:val="0"/>
    <w:rPr>
      <w:rFonts w:hint="eastAsia" w:ascii="宋体" w:hAnsi="宋体" w:eastAsia="宋体" w:cs="宋体"/>
      <w:color w:val="000000"/>
      <w:sz w:val="24"/>
      <w:szCs w:val="24"/>
      <w:u w:val="none"/>
    </w:rPr>
  </w:style>
  <w:style w:type="character" w:customStyle="1" w:styleId="30">
    <w:name w:val="font131"/>
    <w:basedOn w:val="7"/>
    <w:qFormat/>
    <w:uiPriority w:val="0"/>
    <w:rPr>
      <w:rFonts w:ascii="方正小标宋简体" w:hAnsi="方正小标宋简体" w:eastAsia="方正小标宋简体" w:cs="方正小标宋简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xwb</Company>
  <Pages>39</Pages>
  <Words>4630</Words>
  <Characters>26392</Characters>
  <Lines>219</Lines>
  <Paragraphs>61</Paragraphs>
  <TotalTime>12</TotalTime>
  <ScaleCrop>false</ScaleCrop>
  <LinksUpToDate>false</LinksUpToDate>
  <CharactersWithSpaces>30961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2019-12-09T05:15:00Z</dcterms:created>
  <dc:creator>302</dc:creator>
  <cp:lastModifiedBy>NTKO</cp:lastModifiedBy>
  <cp:lastPrinted>2019-12-06T08:11:00Z</cp:lastPrinted>
  <dcterms:modified xsi:type="dcterms:W3CDTF">2019-12-10T11:07:52Z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