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bookmarkStart w:id="1" w:name="_GoBack"/>
      <w:r>
        <w:rPr>
          <w:rFonts w:ascii="Times New Roman" w:hAnsi="Times New Roman" w:eastAsia="方正小标宋简体" w:cs="Times New Roman"/>
          <w:sz w:val="44"/>
          <w:szCs w:val="44"/>
        </w:rPr>
        <w:t>《新疆维吾尔自治区职业学校“双师型”教师认定实施办法（修订）》起草情况的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说明</w:t>
      </w:r>
    </w:p>
    <w:p>
      <w:pPr>
        <w:pStyle w:val="9"/>
        <w:ind w:left="0" w:leftChars="0" w:firstLine="0" w:firstLineChars="0"/>
        <w:rPr>
          <w:rFonts w:hint="eastAsia" w:ascii="Times New Roman" w:hAnsi="Times New Roman" w:eastAsia="方正仿宋_GBK" w:cs="Times New Roman"/>
          <w:sz w:val="36"/>
          <w:szCs w:val="36"/>
        </w:rPr>
      </w:pPr>
    </w:p>
    <w:bookmarkEnd w:id="1"/>
    <w:p>
      <w:pPr>
        <w:pStyle w:val="9"/>
        <w:ind w:left="0" w:leftChars="0" w:firstLine="720" w:firstLineChars="200"/>
      </w:pPr>
      <w:r>
        <w:rPr>
          <w:rFonts w:hint="eastAsia" w:ascii="Times New Roman" w:hAnsi="Times New Roman" w:eastAsia="方正仿宋_GBK" w:cs="Times New Roman"/>
          <w:sz w:val="36"/>
          <w:szCs w:val="36"/>
        </w:rPr>
        <w:t>现就《</w:t>
      </w:r>
      <w:bookmarkStart w:id="0" w:name="_Hlk159340938"/>
      <w:r>
        <w:rPr>
          <w:rFonts w:hint="eastAsia" w:ascii="Times New Roman" w:hAnsi="Times New Roman" w:eastAsia="方正仿宋_GBK" w:cs="Times New Roman"/>
          <w:sz w:val="36"/>
          <w:szCs w:val="36"/>
        </w:rPr>
        <w:t>新疆维吾尔自治区职业学校“双师型”教师认定实施办法（修订）</w:t>
      </w:r>
      <w:bookmarkEnd w:id="0"/>
      <w:r>
        <w:rPr>
          <w:rFonts w:hint="eastAsia" w:ascii="Times New Roman" w:hAnsi="Times New Roman" w:eastAsia="方正仿宋_GBK" w:cs="Times New Roman"/>
          <w:sz w:val="36"/>
          <w:szCs w:val="36"/>
        </w:rPr>
        <w:t>》</w:t>
      </w:r>
      <w:r>
        <w:rPr>
          <w:rFonts w:ascii="Times New Roman" w:hAnsi="Times New Roman" w:eastAsia="方正仿宋_GBK" w:cs="Times New Roman"/>
          <w:kern w:val="0"/>
          <w:sz w:val="36"/>
          <w:szCs w:val="36"/>
          <w:shd w:val="clear" w:color="auto" w:fill="FFFFFF"/>
          <w:lang w:bidi="ar"/>
        </w:rPr>
        <w:t>起草情况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shd w:val="clear" w:color="auto" w:fill="FFFFFF"/>
          <w:lang w:eastAsia="zh-CN" w:bidi="ar"/>
        </w:rPr>
        <w:t>说明</w:t>
      </w:r>
      <w:r>
        <w:rPr>
          <w:rFonts w:ascii="Times New Roman" w:hAnsi="Times New Roman" w:eastAsia="方正仿宋_GBK" w:cs="Times New Roman"/>
          <w:kern w:val="0"/>
          <w:sz w:val="36"/>
          <w:szCs w:val="36"/>
          <w:shd w:val="clear" w:color="auto" w:fill="FFFFFF"/>
          <w:lang w:bidi="ar"/>
        </w:rPr>
        <w:t>如下：</w:t>
      </w:r>
    </w:p>
    <w:p>
      <w:pPr>
        <w:numPr>
          <w:ilvl w:val="0"/>
          <w:numId w:val="1"/>
        </w:numPr>
        <w:spacing w:line="560" w:lineRule="exact"/>
        <w:ind w:firstLine="720" w:firstLineChars="200"/>
        <w:rPr>
          <w:rFonts w:ascii="Times New Roman" w:hAnsi="Times New Roman" w:eastAsia="方正黑体_GBK" w:cs="Times New Roman"/>
          <w:kern w:val="0"/>
          <w:sz w:val="36"/>
          <w:szCs w:val="36"/>
          <w:shd w:val="clear" w:color="auto" w:fill="FFFFFF"/>
          <w:lang w:bidi="ar"/>
        </w:rPr>
      </w:pPr>
      <w:r>
        <w:rPr>
          <w:rFonts w:ascii="Times New Roman" w:hAnsi="Times New Roman" w:eastAsia="方正黑体_GBK" w:cs="Times New Roman"/>
          <w:kern w:val="0"/>
          <w:sz w:val="36"/>
          <w:szCs w:val="36"/>
          <w:shd w:val="clear" w:color="auto" w:fill="FFFFFF"/>
          <w:lang w:bidi="ar"/>
        </w:rPr>
        <w:t>起草依据</w:t>
      </w:r>
    </w:p>
    <w:p>
      <w:pPr>
        <w:spacing w:line="560" w:lineRule="exact"/>
        <w:ind w:firstLine="720" w:firstLineChars="200"/>
        <w:rPr>
          <w:rFonts w:ascii="Times New Roman" w:hAnsi="Times New Roman" w:eastAsia="方正仿宋_GBK" w:cs="Times New Roman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sz w:val="36"/>
          <w:szCs w:val="36"/>
        </w:rPr>
        <w:t>2022年1月，教育厅印发</w:t>
      </w:r>
      <w:r>
        <w:rPr>
          <w:rFonts w:ascii="Times New Roman" w:hAnsi="Times New Roman" w:eastAsia="方正仿宋_GBK" w:cs="Times New Roman"/>
          <w:sz w:val="36"/>
          <w:szCs w:val="36"/>
        </w:rPr>
        <w:t>《新疆维吾尔自治区职业院校“双师型”教师认定及管理办法（试行）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》（</w:t>
      </w:r>
      <w:r>
        <w:rPr>
          <w:rFonts w:ascii="Times New Roman" w:hAnsi="Times New Roman" w:eastAsia="方正仿宋_GBK" w:cs="Times New Roman"/>
          <w:sz w:val="36"/>
          <w:szCs w:val="36"/>
        </w:rPr>
        <w:t>新教规〔2022〕2号）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；2022年10月，教育部</w:t>
      </w:r>
      <w:r>
        <w:rPr>
          <w:rFonts w:ascii="Times New Roman" w:hAnsi="Times New Roman" w:eastAsia="方正仿宋_GBK" w:cs="Times New Roman"/>
          <w:sz w:val="36"/>
          <w:szCs w:val="36"/>
        </w:rPr>
        <w:t>办公厅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印发</w:t>
      </w:r>
      <w:r>
        <w:rPr>
          <w:rFonts w:ascii="Times New Roman" w:hAnsi="Times New Roman" w:eastAsia="方正仿宋_GBK" w:cs="Times New Roman"/>
          <w:sz w:val="36"/>
          <w:szCs w:val="36"/>
        </w:rPr>
        <w:t>《关于做好职业教育“双师型”教师认定工作的通知》（教师厅〔2022〕2号），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要求“各省级教育行政部门应结合本地具体情况，参照制定修订本级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‘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双师型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’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教师认定实施办法”。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</w:rPr>
        <w:t>教师工作处在参考其他省份认定实施办法的基础上，主要对原试行</w:t>
      </w:r>
      <w:r>
        <w:rPr>
          <w:rFonts w:ascii="Times New Roman" w:hAnsi="Times New Roman" w:eastAsia="方正仿宋_GBK" w:cs="Times New Roman"/>
          <w:kern w:val="0"/>
          <w:sz w:val="36"/>
          <w:szCs w:val="36"/>
        </w:rPr>
        <w:t>办法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</w:rPr>
        <w:t>作了三方面的</w:t>
      </w:r>
      <w:r>
        <w:rPr>
          <w:rFonts w:ascii="Times New Roman" w:hAnsi="Times New Roman" w:eastAsia="方正仿宋_GBK" w:cs="Times New Roman"/>
          <w:kern w:val="0"/>
          <w:sz w:val="36"/>
          <w:szCs w:val="36"/>
        </w:rPr>
        <w:t>政策调整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</w:rPr>
        <w:t>，具体如下。</w:t>
      </w:r>
    </w:p>
    <w:p>
      <w:pPr>
        <w:spacing w:line="560" w:lineRule="exact"/>
        <w:ind w:firstLine="723" w:firstLineChars="200"/>
        <w:rPr>
          <w:rFonts w:ascii="Times New Roman" w:hAnsi="Times New Roman" w:eastAsia="方正仿宋_GBK" w:cs="Times New Roman"/>
          <w:sz w:val="36"/>
          <w:szCs w:val="36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6"/>
          <w:szCs w:val="36"/>
        </w:rPr>
        <w:t>一是</w:t>
      </w:r>
      <w:r>
        <w:rPr>
          <w:rFonts w:ascii="Times New Roman" w:hAnsi="Times New Roman" w:eastAsia="方正仿宋_GBK" w:cs="Times New Roman"/>
          <w:kern w:val="0"/>
          <w:sz w:val="36"/>
          <w:szCs w:val="36"/>
        </w:rPr>
        <w:t>提高对师德师风的要求，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</w:rPr>
        <w:t>坚持把师德师风作为衡量“双师型”教师能力素质的第一标准。师德考核</w:t>
      </w:r>
      <w:r>
        <w:rPr>
          <w:rFonts w:ascii="Times New Roman" w:hAnsi="Times New Roman" w:eastAsia="方正仿宋_GBK" w:cs="Times New Roman"/>
          <w:kern w:val="0"/>
          <w:sz w:val="36"/>
          <w:szCs w:val="36"/>
        </w:rPr>
        <w:t>不合格者在影响期内不得参加“双师型”教师认定，已认定的予以撤销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</w:rPr>
        <w:t>；</w:t>
      </w:r>
      <w:r>
        <w:rPr>
          <w:rFonts w:ascii="Times New Roman" w:hAnsi="Times New Roman" w:eastAsia="方正仿宋_GBK" w:cs="Times New Roman"/>
          <w:b/>
          <w:bCs/>
          <w:kern w:val="0"/>
          <w:sz w:val="36"/>
          <w:szCs w:val="36"/>
        </w:rPr>
        <w:t>二是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依据职业教育“双师型”教师基本标准（试行）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</w:rPr>
        <w:t>，</w:t>
      </w:r>
      <w:r>
        <w:rPr>
          <w:rFonts w:ascii="Times New Roman" w:hAnsi="Times New Roman" w:eastAsia="方正仿宋_GBK" w:cs="Times New Roman"/>
          <w:kern w:val="0"/>
          <w:sz w:val="36"/>
          <w:szCs w:val="36"/>
        </w:rPr>
        <w:t>对“双师型”教师认定层次和认定标准进行了细化，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</w:rPr>
        <w:t>对</w:t>
      </w:r>
      <w:r>
        <w:rPr>
          <w:rFonts w:ascii="Times New Roman" w:hAnsi="Times New Roman" w:eastAsia="方正仿宋_GBK" w:cs="Times New Roman"/>
          <w:kern w:val="0"/>
          <w:sz w:val="36"/>
          <w:szCs w:val="36"/>
        </w:rPr>
        <w:t>初级、中级和高级“双师型”教师，在满足基本条件的基础上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</w:rPr>
        <w:t>并分别制定了认定标准；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6"/>
          <w:szCs w:val="36"/>
        </w:rPr>
        <w:t>三是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</w:rPr>
        <w:t>在原试行办法的基础上对</w:t>
      </w:r>
      <w:r>
        <w:rPr>
          <w:rFonts w:ascii="Times New Roman" w:hAnsi="Times New Roman" w:eastAsia="方正仿宋_GBK" w:cs="Times New Roman"/>
          <w:kern w:val="0"/>
          <w:sz w:val="36"/>
          <w:szCs w:val="36"/>
        </w:rPr>
        <w:t>认定机构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</w:rPr>
        <w:t>和程序进行了调整</w:t>
      </w:r>
      <w:r>
        <w:rPr>
          <w:rFonts w:ascii="Times New Roman" w:hAnsi="Times New Roman" w:eastAsia="方正仿宋_GBK" w:cs="Times New Roman"/>
          <w:kern w:val="0"/>
          <w:sz w:val="36"/>
          <w:szCs w:val="36"/>
        </w:rPr>
        <w:t>，自治区教育厅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</w:rPr>
        <w:t>组织和统筹协调</w:t>
      </w:r>
      <w:r>
        <w:rPr>
          <w:rFonts w:ascii="Times New Roman" w:hAnsi="Times New Roman" w:eastAsia="方正仿宋_GBK" w:cs="Times New Roman"/>
          <w:kern w:val="0"/>
          <w:sz w:val="36"/>
          <w:szCs w:val="36"/>
        </w:rPr>
        <w:t>全区“双师型”教师认定工作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</w:rPr>
        <w:t>，委托新疆工程学院负责全区认定结果复核工作。</w:t>
      </w:r>
      <w:r>
        <w:rPr>
          <w:rFonts w:ascii="Times New Roman" w:hAnsi="Times New Roman" w:eastAsia="方正仿宋_GBK" w:cs="Times New Roman"/>
          <w:kern w:val="0"/>
          <w:sz w:val="36"/>
          <w:szCs w:val="36"/>
        </w:rPr>
        <w:t>各地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</w:rPr>
        <w:t>（</w:t>
      </w:r>
      <w:r>
        <w:rPr>
          <w:rFonts w:ascii="Times New Roman" w:hAnsi="Times New Roman" w:eastAsia="方正仿宋_GBK" w:cs="Times New Roman"/>
          <w:kern w:val="0"/>
          <w:sz w:val="36"/>
          <w:szCs w:val="36"/>
        </w:rPr>
        <w:t>州、市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</w:rPr>
        <w:t>）</w:t>
      </w:r>
      <w:r>
        <w:rPr>
          <w:rFonts w:ascii="Times New Roman" w:hAnsi="Times New Roman" w:eastAsia="方正仿宋_GBK" w:cs="Times New Roman"/>
          <w:kern w:val="0"/>
          <w:sz w:val="36"/>
          <w:szCs w:val="36"/>
        </w:rPr>
        <w:t>教育行政部门负责所属中等职业学校“双师型”教师认定工作。高等职业院校（含职业本科高校）负责本校“双师型”教师认定工作。</w:t>
      </w:r>
    </w:p>
    <w:p>
      <w:pPr>
        <w:spacing w:line="560" w:lineRule="exact"/>
        <w:ind w:firstLine="720" w:firstLineChars="200"/>
        <w:rPr>
          <w:rFonts w:ascii="Times New Roman" w:hAnsi="Times New Roman" w:eastAsia="方正黑体_GBK" w:cs="Times New Roman"/>
          <w:kern w:val="0"/>
          <w:sz w:val="36"/>
          <w:szCs w:val="36"/>
          <w:shd w:val="clear" w:color="auto" w:fill="FFFFFF"/>
          <w:lang w:bidi="ar"/>
        </w:rPr>
      </w:pPr>
      <w:r>
        <w:rPr>
          <w:rFonts w:ascii="Times New Roman" w:hAnsi="Times New Roman" w:eastAsia="方正黑体_GBK" w:cs="Times New Roman"/>
          <w:kern w:val="0"/>
          <w:sz w:val="36"/>
          <w:szCs w:val="36"/>
          <w:shd w:val="clear" w:color="auto" w:fill="FFFFFF"/>
          <w:lang w:bidi="ar"/>
        </w:rPr>
        <w:t>二、起草过程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snapToGrid w:val="0"/>
        <w:spacing w:line="560" w:lineRule="exact"/>
        <w:ind w:firstLine="723" w:firstLineChars="200"/>
        <w:rPr>
          <w:rFonts w:ascii="Times New Roman" w:hAnsi="Times New Roman" w:eastAsia="方正仿宋_GBK" w:cs="Times New Roman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b/>
          <w:bCs/>
          <w:sz w:val="36"/>
          <w:szCs w:val="36"/>
        </w:rPr>
        <w:t>一是开展实地调研论证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，前往库尔勒、阿克苏及新疆交通职业计划学院、新疆体育职业技术学院等12所职业院校调研，形成修订稿；</w:t>
      </w:r>
      <w:r>
        <w:rPr>
          <w:rFonts w:hint="eastAsia" w:ascii="Times New Roman" w:hAnsi="Times New Roman" w:eastAsia="方正仿宋_GBK" w:cs="Times New Roman"/>
          <w:b/>
          <w:bCs/>
          <w:sz w:val="36"/>
          <w:szCs w:val="36"/>
        </w:rPr>
        <w:t>二是广泛征求意见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，先后征求厅发展规划处、职业教育与成人教育处、高等教育处、自治区人社厅及22所区属职业学校和14个地（州、市）教育局等部门、学校意见建议，共收到反馈意见建议36条，其中采纳意见建议11条；</w:t>
      </w:r>
      <w:r>
        <w:rPr>
          <w:rFonts w:hint="eastAsia" w:ascii="Times New Roman" w:hAnsi="Times New Roman" w:eastAsia="方正仿宋_GBK" w:cs="Times New Roman"/>
          <w:b/>
          <w:bCs/>
          <w:sz w:val="36"/>
          <w:szCs w:val="36"/>
        </w:rPr>
        <w:t>三是多方研究讨论，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在充分</w:t>
      </w:r>
      <w:r>
        <w:rPr>
          <w:rFonts w:ascii="Times New Roman" w:hAnsi="Times New Roman" w:eastAsia="方正仿宋_GBK" w:cs="Times New Roman"/>
          <w:sz w:val="36"/>
          <w:szCs w:val="36"/>
        </w:rPr>
        <w:t>学习借鉴其他省</w:t>
      </w:r>
      <w:r>
        <w:rPr>
          <w:rFonts w:hint="eastAsia" w:ascii="Times New Roman" w:hAnsi="Times New Roman" w:eastAsia="方正仿宋_GBK" w:cs="Times New Roman"/>
          <w:sz w:val="36"/>
          <w:szCs w:val="36"/>
          <w:lang w:val="en-US" w:eastAsia="zh-CN"/>
        </w:rPr>
        <w:t>份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经验基础上</w:t>
      </w:r>
      <w:r>
        <w:rPr>
          <w:rFonts w:ascii="Times New Roman" w:hAnsi="Times New Roman" w:eastAsia="方正仿宋_GBK" w:cs="Times New Roman"/>
          <w:sz w:val="36"/>
          <w:szCs w:val="36"/>
        </w:rPr>
        <w:t>，多次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邀请自治区相关专家</w:t>
      </w:r>
      <w:r>
        <w:rPr>
          <w:rFonts w:ascii="Times New Roman" w:hAnsi="Times New Roman" w:eastAsia="方正仿宋_GBK" w:cs="Times New Roman"/>
          <w:sz w:val="36"/>
          <w:szCs w:val="36"/>
        </w:rPr>
        <w:t>召开会议进行讨论、修改、完善，最终形成自治区职业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学</w:t>
      </w:r>
      <w:r>
        <w:rPr>
          <w:rFonts w:ascii="Times New Roman" w:hAnsi="Times New Roman" w:eastAsia="方正仿宋_GBK" w:cs="Times New Roman"/>
          <w:sz w:val="36"/>
          <w:szCs w:val="36"/>
        </w:rPr>
        <w:t>校“双师型”教师认定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实施</w:t>
      </w:r>
      <w:r>
        <w:rPr>
          <w:rFonts w:ascii="Times New Roman" w:hAnsi="Times New Roman" w:eastAsia="方正仿宋_GBK" w:cs="Times New Roman"/>
          <w:sz w:val="36"/>
          <w:szCs w:val="36"/>
        </w:rPr>
        <w:t>办法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修订稿</w:t>
      </w:r>
      <w:r>
        <w:rPr>
          <w:rFonts w:ascii="Times New Roman" w:hAnsi="Times New Roman" w:eastAsia="方正仿宋_GBK" w:cs="Times New Roman"/>
          <w:sz w:val="36"/>
          <w:szCs w:val="36"/>
        </w:rPr>
        <w:t>。</w:t>
      </w:r>
    </w:p>
    <w:p>
      <w:pPr>
        <w:spacing w:line="560" w:lineRule="exact"/>
        <w:ind w:firstLine="720" w:firstLineChars="200"/>
        <w:jc w:val="left"/>
        <w:rPr>
          <w:rFonts w:ascii="Times New Roman" w:hAnsi="Times New Roman" w:eastAsia="宋体" w:cs="Times New Roman"/>
          <w:sz w:val="36"/>
          <w:szCs w:val="28"/>
        </w:rPr>
      </w:pPr>
      <w:r>
        <w:rPr>
          <w:rFonts w:ascii="Times New Roman" w:hAnsi="Times New Roman" w:eastAsia="方正黑体_GBK" w:cs="Times New Roman"/>
          <w:kern w:val="0"/>
          <w:sz w:val="36"/>
          <w:szCs w:val="36"/>
          <w:shd w:val="clear" w:color="auto" w:fill="FFFFFF"/>
          <w:lang w:bidi="ar"/>
        </w:rPr>
        <w:t>三、主要内容</w:t>
      </w:r>
    </w:p>
    <w:p>
      <w:pPr>
        <w:spacing w:line="560" w:lineRule="exact"/>
        <w:ind w:firstLine="720" w:firstLineChars="200"/>
        <w:rPr>
          <w:rFonts w:ascii="Times New Roman" w:hAnsi="Times New Roman" w:eastAsia="方正仿宋_GBK" w:cs="Times New Roman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sz w:val="36"/>
          <w:szCs w:val="36"/>
        </w:rPr>
        <w:t>共</w:t>
      </w:r>
      <w:r>
        <w:rPr>
          <w:rFonts w:ascii="Times New Roman" w:hAnsi="Times New Roman" w:eastAsia="方正仿宋_GBK" w:cs="Times New Roman"/>
          <w:sz w:val="36"/>
          <w:szCs w:val="36"/>
        </w:rPr>
        <w:t>五章内容，</w:t>
      </w:r>
      <w:r>
        <w:rPr>
          <w:rFonts w:ascii="Times New Roman" w:hAnsi="Times New Roman" w:eastAsia="方正仿宋_GBK" w:cs="Times New Roman"/>
          <w:b/>
          <w:bCs/>
          <w:sz w:val="36"/>
          <w:szCs w:val="36"/>
        </w:rPr>
        <w:t>第一章总则，</w:t>
      </w:r>
      <w:r>
        <w:rPr>
          <w:rFonts w:ascii="Times New Roman" w:hAnsi="Times New Roman" w:eastAsia="方正仿宋_GBK" w:cs="Times New Roman"/>
          <w:sz w:val="36"/>
          <w:szCs w:val="36"/>
        </w:rPr>
        <w:t>明确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认定范围适用对象</w:t>
      </w:r>
      <w:r>
        <w:rPr>
          <w:rFonts w:ascii="Times New Roman" w:hAnsi="Times New Roman" w:eastAsia="方正仿宋_GBK" w:cs="Times New Roman"/>
          <w:sz w:val="36"/>
          <w:szCs w:val="36"/>
        </w:rPr>
        <w:t>；</w:t>
      </w:r>
      <w:r>
        <w:rPr>
          <w:rFonts w:ascii="Times New Roman" w:hAnsi="Times New Roman" w:eastAsia="方正仿宋_GBK" w:cs="Times New Roman"/>
          <w:b/>
          <w:bCs/>
          <w:sz w:val="36"/>
          <w:szCs w:val="36"/>
        </w:rPr>
        <w:t>第二章认定机构，</w:t>
      </w:r>
      <w:r>
        <w:rPr>
          <w:rFonts w:ascii="Times New Roman" w:hAnsi="Times New Roman" w:eastAsia="方正仿宋_GBK" w:cs="Times New Roman"/>
          <w:sz w:val="36"/>
          <w:szCs w:val="36"/>
        </w:rPr>
        <w:t>确定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不同层级</w:t>
      </w:r>
      <w:r>
        <w:rPr>
          <w:rFonts w:ascii="Times New Roman" w:hAnsi="Times New Roman" w:eastAsia="方正仿宋_GBK" w:cs="Times New Roman"/>
          <w:sz w:val="36"/>
          <w:szCs w:val="36"/>
        </w:rPr>
        <w:t>教育行政部门及职业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学</w:t>
      </w:r>
      <w:r>
        <w:rPr>
          <w:rFonts w:ascii="Times New Roman" w:hAnsi="Times New Roman" w:eastAsia="方正仿宋_GBK" w:cs="Times New Roman"/>
          <w:sz w:val="36"/>
          <w:szCs w:val="36"/>
        </w:rPr>
        <w:t>校在认定工作中的职责；</w:t>
      </w:r>
      <w:r>
        <w:rPr>
          <w:rFonts w:ascii="Times New Roman" w:hAnsi="Times New Roman" w:eastAsia="方正仿宋_GBK" w:cs="Times New Roman"/>
          <w:b/>
          <w:bCs/>
          <w:sz w:val="36"/>
          <w:szCs w:val="36"/>
        </w:rPr>
        <w:t>第三章认定标准，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细化</w:t>
      </w:r>
      <w:r>
        <w:rPr>
          <w:rFonts w:ascii="Times New Roman" w:hAnsi="Times New Roman" w:eastAsia="方正仿宋_GBK" w:cs="Times New Roman"/>
          <w:sz w:val="36"/>
          <w:szCs w:val="36"/>
        </w:rPr>
        <w:t>专任课教师及教育教学、教育教学研究、专业实践等方面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具体要求</w:t>
      </w:r>
      <w:r>
        <w:rPr>
          <w:rFonts w:ascii="Times New Roman" w:hAnsi="Times New Roman" w:eastAsia="方正仿宋_GBK" w:cs="Times New Roman"/>
          <w:sz w:val="36"/>
          <w:szCs w:val="36"/>
        </w:rPr>
        <w:t>；</w:t>
      </w:r>
      <w:r>
        <w:rPr>
          <w:rFonts w:ascii="Times New Roman" w:hAnsi="Times New Roman" w:eastAsia="方正仿宋_GBK" w:cs="Times New Roman"/>
          <w:b/>
          <w:bCs/>
          <w:sz w:val="36"/>
          <w:szCs w:val="36"/>
        </w:rPr>
        <w:t>第四章认定程序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，按照</w:t>
      </w:r>
      <w:r>
        <w:rPr>
          <w:rFonts w:ascii="Times New Roman" w:hAnsi="Times New Roman" w:eastAsia="方正仿宋_GBK" w:cs="Times New Roman"/>
          <w:sz w:val="36"/>
          <w:szCs w:val="36"/>
        </w:rPr>
        <w:t>个人申报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、</w:t>
      </w:r>
      <w:r>
        <w:rPr>
          <w:rFonts w:ascii="Times New Roman" w:hAnsi="Times New Roman" w:eastAsia="方正仿宋_GBK" w:cs="Times New Roman"/>
          <w:sz w:val="36"/>
          <w:szCs w:val="36"/>
        </w:rPr>
        <w:t>审核推荐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、</w:t>
      </w:r>
      <w:r>
        <w:rPr>
          <w:rFonts w:ascii="Times New Roman" w:hAnsi="Times New Roman" w:eastAsia="方正仿宋_GBK" w:cs="Times New Roman"/>
          <w:sz w:val="36"/>
          <w:szCs w:val="36"/>
        </w:rPr>
        <w:t>组织认定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、</w:t>
      </w:r>
      <w:r>
        <w:rPr>
          <w:rFonts w:ascii="Times New Roman" w:hAnsi="Times New Roman" w:eastAsia="方正仿宋_GBK" w:cs="Times New Roman"/>
          <w:sz w:val="36"/>
          <w:szCs w:val="36"/>
        </w:rPr>
        <w:t>复核备案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的流程予以认定</w:t>
      </w:r>
      <w:r>
        <w:rPr>
          <w:rFonts w:ascii="Times New Roman" w:hAnsi="Times New Roman" w:eastAsia="方正仿宋_GBK" w:cs="Times New Roman"/>
          <w:sz w:val="36"/>
          <w:szCs w:val="36"/>
        </w:rPr>
        <w:t>。</w:t>
      </w:r>
      <w:r>
        <w:rPr>
          <w:rFonts w:ascii="Times New Roman" w:hAnsi="Times New Roman" w:eastAsia="方正仿宋_GBK" w:cs="Times New Roman"/>
          <w:b/>
          <w:bCs/>
          <w:sz w:val="36"/>
          <w:szCs w:val="36"/>
        </w:rPr>
        <w:t>第五章认定管理，</w:t>
      </w:r>
      <w:r>
        <w:rPr>
          <w:rFonts w:ascii="Times New Roman" w:hAnsi="Times New Roman" w:eastAsia="方正仿宋_GBK" w:cs="Times New Roman"/>
          <w:sz w:val="36"/>
          <w:szCs w:val="36"/>
        </w:rPr>
        <w:t>对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比赛界定、专业申报依据、违纪查处、评定周期等方面</w:t>
      </w:r>
      <w:r>
        <w:rPr>
          <w:rFonts w:ascii="Times New Roman" w:hAnsi="Times New Roman" w:eastAsia="方正仿宋_GBK" w:cs="Times New Roman"/>
          <w:sz w:val="36"/>
          <w:szCs w:val="36"/>
        </w:rPr>
        <w:t>进行补充说明。</w:t>
      </w:r>
    </w:p>
    <w:p>
      <w:pPr>
        <w:spacing w:line="560" w:lineRule="exact"/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8BDF"/>
    <w:multiLevelType w:val="singleLevel"/>
    <w:tmpl w:val="26C88B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932C8"/>
    <w:rsid w:val="4839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heading 2"/>
    <w:basedOn w:val="1"/>
    <w:next w:val="1"/>
    <w:unhideWhenUsed/>
    <w:qFormat/>
    <w:uiPriority w:val="0"/>
    <w:pPr>
      <w:keepNext/>
      <w:keepLines/>
      <w:spacing w:line="560" w:lineRule="exact"/>
      <w:ind w:left="420" w:leftChars="200"/>
      <w:outlineLvl w:val="1"/>
    </w:pPr>
    <w:rPr>
      <w:rFonts w:ascii="Arial" w:hAnsi="Arial" w:eastAsia="方正黑体_GBK"/>
      <w:sz w:val="3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firstLine="420" w:firstLineChars="200"/>
    </w:pPr>
    <w:rPr>
      <w:sz w:val="32"/>
    </w:rPr>
  </w:style>
  <w:style w:type="paragraph" w:styleId="3">
    <w:name w:val="Body Text Indent"/>
    <w:basedOn w:val="1"/>
    <w:next w:val="1"/>
    <w:uiPriority w:val="0"/>
    <w:pPr>
      <w:spacing w:after="120"/>
      <w:ind w:left="420" w:leftChars="200"/>
    </w:pPr>
  </w:style>
  <w:style w:type="paragraph" w:styleId="4">
    <w:name w:val="Body Text First Indent"/>
    <w:basedOn w:val="5"/>
    <w:next w:val="7"/>
    <w:uiPriority w:val="0"/>
    <w:pPr>
      <w:ind w:firstLine="420" w:firstLineChars="100"/>
    </w:pPr>
    <w:rPr>
      <w:rFonts w:eastAsia="宋体"/>
      <w:szCs w:val="24"/>
    </w:rPr>
  </w:style>
  <w:style w:type="paragraph" w:styleId="5">
    <w:name w:val="Body Text"/>
    <w:basedOn w:val="1"/>
    <w:next w:val="6"/>
    <w:uiPriority w:val="0"/>
    <w:pPr>
      <w:spacing w:line="580" w:lineRule="exact"/>
      <w:ind w:firstLine="640" w:firstLineChars="200"/>
      <w:jc w:val="left"/>
    </w:pPr>
    <w:rPr>
      <w:rFonts w:ascii="Calibri" w:hAnsi="Calibri" w:eastAsia="仿宋_GB2312" w:cs="Times New Roman"/>
      <w:sz w:val="32"/>
      <w:szCs w:val="22"/>
    </w:rPr>
  </w:style>
  <w:style w:type="paragraph" w:customStyle="1" w:styleId="6">
    <w:name w:val="_Style 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paragraph" w:styleId="7">
    <w:name w:val="footer"/>
    <w:basedOn w:val="1"/>
    <w:next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next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2024-04-12T10:17:00Z</dcterms:created>
  <dc:creator>网站信息员</dc:creator>
  <cp:lastModifiedBy>网站信息员</cp:lastModifiedBy>
  <dcterms:modified xsi:type="dcterms:W3CDTF">2024-04-12T10:17:55Z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