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val="0"/>
          <w:bCs/>
          <w:snapToGrid w:val="0"/>
          <w:kern w:val="0"/>
          <w:sz w:val="36"/>
          <w:szCs w:val="36"/>
        </w:rPr>
      </w:pPr>
      <w:r>
        <w:rPr>
          <w:rFonts w:hint="default" w:ascii="Times New Roman" w:hAnsi="Times New Roman" w:eastAsia="黑体" w:cs="Times New Roman"/>
          <w:b w:val="0"/>
          <w:bCs/>
          <w:snapToGrid w:val="0"/>
          <w:kern w:val="0"/>
          <w:sz w:val="36"/>
          <w:szCs w:val="36"/>
        </w:rPr>
        <w:t>附件</w:t>
      </w:r>
      <w:r>
        <w:rPr>
          <w:rFonts w:hint="eastAsia" w:ascii="Times New Roman" w:hAnsi="Times New Roman" w:eastAsia="黑体" w:cs="Times New Roman"/>
          <w:b w:val="0"/>
          <w:bCs/>
          <w:snapToGrid w:val="0"/>
          <w:kern w:val="0"/>
          <w:sz w:val="36"/>
          <w:szCs w:val="36"/>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2020年自治区研究生教育教学改革拟立项名单</w:t>
      </w:r>
    </w:p>
    <w:tbl>
      <w:tblPr>
        <w:tblStyle w:val="8"/>
        <w:tblW w:w="14320"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33"/>
        <w:gridCol w:w="1973"/>
        <w:gridCol w:w="6054"/>
        <w:gridCol w:w="1040"/>
        <w:gridCol w:w="1360"/>
        <w:gridCol w:w="132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1" w:hRule="atLeast"/>
        </w:trPr>
        <w:tc>
          <w:tcPr>
            <w:tcW w:w="1333" w:type="dxa"/>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eastAsia" w:ascii="Times New Roman" w:hAnsi="Times New Roman" w:eastAsia="黑体" w:cs="Times New Roman"/>
                <w:b w:val="0"/>
                <w:bCs/>
                <w:color w:val="000000"/>
                <w:sz w:val="32"/>
                <w:szCs w:val="32"/>
                <w:lang w:val="en-US" w:eastAsia="zh-CN"/>
              </w:rPr>
              <w:t>项目编</w:t>
            </w:r>
            <w:r>
              <w:rPr>
                <w:rFonts w:hint="default" w:ascii="Times New Roman" w:hAnsi="Times New Roman" w:eastAsia="黑体" w:cs="Times New Roman"/>
                <w:b w:val="0"/>
                <w:bCs/>
                <w:color w:val="000000"/>
                <w:sz w:val="32"/>
                <w:szCs w:val="32"/>
              </w:rPr>
              <w:t>号</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单位</w:t>
            </w:r>
          </w:p>
        </w:tc>
        <w:tc>
          <w:tcPr>
            <w:tcW w:w="6054" w:type="dxa"/>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项目名称</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负责人</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资助经费</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2020年拨付</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2021年拨付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kern w:val="0"/>
                <w:sz w:val="32"/>
                <w:szCs w:val="32"/>
                <w:lang w:bidi="ar"/>
              </w:rPr>
            </w:pPr>
            <w:r>
              <w:rPr>
                <w:rFonts w:hint="eastAsia" w:ascii="宋体" w:hAnsi="宋体" w:eastAsia="宋体" w:cs="宋体"/>
                <w:i w:val="0"/>
                <w:color w:val="000000"/>
                <w:kern w:val="0"/>
                <w:sz w:val="24"/>
                <w:szCs w:val="24"/>
                <w:u w:val="none"/>
                <w:lang w:val="en-US" w:eastAsia="zh-CN" w:bidi="ar"/>
              </w:rPr>
              <w:t>XJ2020GY01</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新疆大学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专</w:t>
            </w:r>
            <w:r>
              <w:rPr>
                <w:rFonts w:hint="default" w:ascii="Times New Roman" w:hAnsi="Times New Roman" w:eastAsia="方正仿宋_GBK" w:cs="Times New Roman"/>
                <w:b w:val="0"/>
                <w:bCs/>
                <w:color w:val="000000"/>
                <w:spacing w:val="-6"/>
                <w:kern w:val="0"/>
                <w:sz w:val="32"/>
                <w:szCs w:val="32"/>
                <w:lang w:bidi="ar"/>
              </w:rPr>
              <w:t>业学位研究生产教融合协同育人模式研究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谢丽蓉</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0.8</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kern w:val="0"/>
                <w:sz w:val="32"/>
                <w:szCs w:val="32"/>
                <w:lang w:val="en-US" w:eastAsia="zh-CN" w:bidi="ar"/>
              </w:rPr>
            </w:pPr>
            <w:r>
              <w:rPr>
                <w:rFonts w:hint="eastAsia" w:ascii="宋体" w:hAnsi="宋体" w:eastAsia="宋体" w:cs="宋体"/>
                <w:i w:val="0"/>
                <w:color w:val="000000"/>
                <w:kern w:val="0"/>
                <w:sz w:val="24"/>
                <w:szCs w:val="24"/>
                <w:u w:val="none"/>
                <w:lang w:val="en-US" w:eastAsia="zh-CN" w:bidi="ar"/>
              </w:rPr>
              <w:t>XJ2020GY02</w:t>
            </w:r>
          </w:p>
        </w:tc>
        <w:tc>
          <w:tcPr>
            <w:tcW w:w="1973" w:type="dxa"/>
            <w:shd w:val="clear" w:color="auto" w:fill="auto"/>
            <w:vAlign w:val="center"/>
          </w:tcPr>
          <w:p>
            <w:pPr>
              <w:widowControl/>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新疆大学</w:t>
            </w:r>
          </w:p>
        </w:tc>
        <w:tc>
          <w:tcPr>
            <w:tcW w:w="6054" w:type="dxa"/>
            <w:shd w:val="clear" w:color="auto" w:fill="auto"/>
            <w:vAlign w:val="center"/>
          </w:tcPr>
          <w:p>
            <w:pPr>
              <w:widowControl/>
              <w:spacing w:line="360" w:lineRule="exact"/>
              <w:jc w:val="left"/>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工程类硕士专业学位研究生培养模式研究与实践</w:t>
            </w:r>
          </w:p>
        </w:tc>
        <w:tc>
          <w:tcPr>
            <w:tcW w:w="104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于 炯</w:t>
            </w:r>
          </w:p>
        </w:tc>
        <w:tc>
          <w:tcPr>
            <w:tcW w:w="136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3</w:t>
            </w:r>
          </w:p>
        </w:tc>
        <w:tc>
          <w:tcPr>
            <w:tcW w:w="132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1.5</w:t>
            </w:r>
          </w:p>
        </w:tc>
        <w:tc>
          <w:tcPr>
            <w:tcW w:w="1240" w:type="dxa"/>
            <w:shd w:val="clear" w:color="auto" w:fill="auto"/>
            <w:vAlign w:val="center"/>
          </w:tcPr>
          <w:p>
            <w:pPr>
              <w:widowControl/>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lang w:eastAsia="zh-CN"/>
              </w:rPr>
            </w:pPr>
            <w:r>
              <w:rPr>
                <w:rFonts w:hint="eastAsia" w:ascii="宋体" w:hAnsi="宋体" w:eastAsia="宋体" w:cs="宋体"/>
                <w:i w:val="0"/>
                <w:color w:val="000000"/>
                <w:kern w:val="0"/>
                <w:sz w:val="24"/>
                <w:szCs w:val="24"/>
                <w:u w:val="none"/>
                <w:lang w:val="en-US" w:eastAsia="zh-CN" w:bidi="ar"/>
              </w:rPr>
              <w:t>XJ2020GY03</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新疆大学中国语言文学研究生“课程思政”建设的探索与实践</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邹  赞</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2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kern w:val="0"/>
                <w:sz w:val="32"/>
                <w:szCs w:val="32"/>
                <w:lang w:bidi="ar"/>
              </w:rPr>
            </w:pPr>
            <w:r>
              <w:rPr>
                <w:rFonts w:hint="eastAsia" w:ascii="宋体" w:hAnsi="宋体" w:eastAsia="宋体" w:cs="宋体"/>
                <w:i w:val="0"/>
                <w:color w:val="000000"/>
                <w:kern w:val="0"/>
                <w:sz w:val="24"/>
                <w:szCs w:val="24"/>
                <w:u w:val="none"/>
                <w:lang w:val="en-US" w:eastAsia="zh-CN" w:bidi="ar"/>
              </w:rPr>
              <w:t>XJ2020GY04</w:t>
            </w:r>
          </w:p>
        </w:tc>
        <w:tc>
          <w:tcPr>
            <w:tcW w:w="1973" w:type="dxa"/>
            <w:shd w:val="clear" w:color="auto" w:fill="auto"/>
            <w:vAlign w:val="center"/>
          </w:tcPr>
          <w:p>
            <w:pPr>
              <w:widowControl/>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新疆大学</w:t>
            </w:r>
          </w:p>
        </w:tc>
        <w:tc>
          <w:tcPr>
            <w:tcW w:w="6054" w:type="dxa"/>
            <w:shd w:val="clear" w:color="auto" w:fill="auto"/>
            <w:vAlign w:val="center"/>
          </w:tcPr>
          <w:p>
            <w:pPr>
              <w:widowControl/>
              <w:spacing w:line="360" w:lineRule="exact"/>
              <w:jc w:val="left"/>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新疆高校研究生学位论文抽检质量分析</w:t>
            </w:r>
          </w:p>
        </w:tc>
        <w:tc>
          <w:tcPr>
            <w:tcW w:w="104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张振宇</w:t>
            </w:r>
          </w:p>
        </w:tc>
        <w:tc>
          <w:tcPr>
            <w:tcW w:w="136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2</w:t>
            </w:r>
          </w:p>
        </w:tc>
        <w:tc>
          <w:tcPr>
            <w:tcW w:w="132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1</w:t>
            </w:r>
          </w:p>
        </w:tc>
        <w:tc>
          <w:tcPr>
            <w:tcW w:w="1240" w:type="dxa"/>
            <w:shd w:val="clear" w:color="auto" w:fill="auto"/>
            <w:vAlign w:val="center"/>
          </w:tcPr>
          <w:p>
            <w:pPr>
              <w:widowControl/>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kern w:val="0"/>
                <w:sz w:val="32"/>
                <w:szCs w:val="32"/>
                <w:lang w:bidi="ar"/>
              </w:rPr>
            </w:pPr>
            <w:r>
              <w:rPr>
                <w:rFonts w:hint="eastAsia" w:ascii="宋体" w:hAnsi="宋体" w:eastAsia="宋体" w:cs="宋体"/>
                <w:i w:val="0"/>
                <w:color w:val="000000"/>
                <w:kern w:val="0"/>
                <w:sz w:val="24"/>
                <w:szCs w:val="24"/>
                <w:u w:val="none"/>
                <w:lang w:val="en-US" w:eastAsia="zh-CN" w:bidi="ar"/>
              </w:rPr>
              <w:t>XJ2020GY05</w:t>
            </w:r>
          </w:p>
        </w:tc>
        <w:tc>
          <w:tcPr>
            <w:tcW w:w="1973" w:type="dxa"/>
            <w:shd w:val="clear" w:color="auto" w:fill="auto"/>
            <w:vAlign w:val="center"/>
          </w:tcPr>
          <w:p>
            <w:pPr>
              <w:widowControl/>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新疆大学</w:t>
            </w:r>
          </w:p>
        </w:tc>
        <w:tc>
          <w:tcPr>
            <w:tcW w:w="6054" w:type="dxa"/>
            <w:shd w:val="clear" w:color="auto" w:fill="auto"/>
            <w:vAlign w:val="center"/>
          </w:tcPr>
          <w:p>
            <w:pPr>
              <w:widowControl/>
              <w:spacing w:line="360" w:lineRule="exact"/>
              <w:jc w:val="left"/>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新疆高校研究生导师队伍建设现状、问题与对策</w:t>
            </w:r>
          </w:p>
        </w:tc>
        <w:tc>
          <w:tcPr>
            <w:tcW w:w="104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吴轶群</w:t>
            </w:r>
          </w:p>
        </w:tc>
        <w:tc>
          <w:tcPr>
            <w:tcW w:w="136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1.5</w:t>
            </w:r>
          </w:p>
        </w:tc>
        <w:tc>
          <w:tcPr>
            <w:tcW w:w="132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1</w:t>
            </w:r>
          </w:p>
        </w:tc>
        <w:tc>
          <w:tcPr>
            <w:tcW w:w="1240" w:type="dxa"/>
            <w:shd w:val="clear" w:color="auto" w:fill="auto"/>
            <w:vAlign w:val="center"/>
          </w:tcPr>
          <w:p>
            <w:pPr>
              <w:widowControl/>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kern w:val="0"/>
                <w:sz w:val="32"/>
                <w:szCs w:val="32"/>
                <w:lang w:bidi="ar"/>
              </w:rPr>
            </w:pPr>
            <w:r>
              <w:rPr>
                <w:rFonts w:hint="eastAsia" w:ascii="宋体" w:hAnsi="宋体" w:eastAsia="宋体" w:cs="宋体"/>
                <w:i w:val="0"/>
                <w:color w:val="000000"/>
                <w:kern w:val="0"/>
                <w:sz w:val="24"/>
                <w:szCs w:val="24"/>
                <w:u w:val="none"/>
                <w:lang w:val="en-US" w:eastAsia="zh-CN" w:bidi="ar"/>
              </w:rPr>
              <w:t>XJ2020GY06</w:t>
            </w:r>
          </w:p>
        </w:tc>
        <w:tc>
          <w:tcPr>
            <w:tcW w:w="1973" w:type="dxa"/>
            <w:shd w:val="clear" w:color="auto" w:fill="auto"/>
            <w:vAlign w:val="center"/>
          </w:tcPr>
          <w:p>
            <w:pPr>
              <w:widowControl/>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新疆大学</w:t>
            </w:r>
          </w:p>
        </w:tc>
        <w:tc>
          <w:tcPr>
            <w:tcW w:w="6054" w:type="dxa"/>
            <w:shd w:val="clear" w:color="auto" w:fill="auto"/>
            <w:vAlign w:val="center"/>
          </w:tcPr>
          <w:p>
            <w:pPr>
              <w:widowControl/>
              <w:spacing w:line="360" w:lineRule="exact"/>
              <w:jc w:val="left"/>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新疆高校学科结构和布局服务经济社会重大战略需求研究</w:t>
            </w:r>
          </w:p>
        </w:tc>
        <w:tc>
          <w:tcPr>
            <w:tcW w:w="104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冯新龙</w:t>
            </w:r>
          </w:p>
        </w:tc>
        <w:tc>
          <w:tcPr>
            <w:tcW w:w="136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3</w:t>
            </w:r>
          </w:p>
        </w:tc>
        <w:tc>
          <w:tcPr>
            <w:tcW w:w="132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1.7</w:t>
            </w:r>
          </w:p>
        </w:tc>
        <w:tc>
          <w:tcPr>
            <w:tcW w:w="1240" w:type="dxa"/>
            <w:shd w:val="clear" w:color="auto" w:fill="auto"/>
            <w:vAlign w:val="center"/>
          </w:tcPr>
          <w:p>
            <w:pPr>
              <w:widowControl/>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XJ2020GY07</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法律硕士研究生产教融合、协同育人实践研究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张建江</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1.5</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XJ2020GY08</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跨学科、跨专业研究生培养模式的探索与研究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李智明</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1.5</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XJ2020GY09</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“一带一路”倡议下中俄软件工程研究生联合培养模式改革</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钱育蓉</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1.5</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XJ2020GY10</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基于雨课堂的新疆大学研究生公共英语“课程思政”改革模式研究与实践</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王彩霞</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0.8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XJ2020GY11</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石河子大学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全日制工程类专业学位硕士研究生培养模式研究与实践——以土木水利专业为例</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王振华</w:t>
            </w:r>
          </w:p>
        </w:tc>
        <w:tc>
          <w:tcPr>
            <w:tcW w:w="136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自筹</w:t>
            </w:r>
          </w:p>
        </w:tc>
        <w:tc>
          <w:tcPr>
            <w:tcW w:w="132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XJ2020GY12</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石河子大学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普通外科专业型研究生外科手术学培养的理论与实践探讨</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张宏伟</w:t>
            </w:r>
          </w:p>
        </w:tc>
        <w:tc>
          <w:tcPr>
            <w:tcW w:w="136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自筹</w:t>
            </w:r>
          </w:p>
        </w:tc>
        <w:tc>
          <w:tcPr>
            <w:tcW w:w="132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XJ2020GY13</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石河子大学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构建专业学位研究生培养过程质量保障体系的探索与实践——以石河子大学为例</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王生年</w:t>
            </w:r>
          </w:p>
        </w:tc>
        <w:tc>
          <w:tcPr>
            <w:tcW w:w="136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自筹</w:t>
            </w:r>
          </w:p>
        </w:tc>
        <w:tc>
          <w:tcPr>
            <w:tcW w:w="132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XJ2020GY14</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石河子大学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跨学科基础医学研究生培养评价体系研究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司军强</w:t>
            </w:r>
          </w:p>
        </w:tc>
        <w:tc>
          <w:tcPr>
            <w:tcW w:w="136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自筹</w:t>
            </w:r>
          </w:p>
        </w:tc>
        <w:tc>
          <w:tcPr>
            <w:tcW w:w="132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XJ2020GY15</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新疆农业大学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全日制交通运输专业学位研究生校企联合培养模式研究与实践-以新疆农业大学为例</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朱兴林</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XJ2020GY16</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新疆农业大学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三全育人场域农科研究生思政和党建创新的DEED研究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郭  璇</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2</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XJ2020GY17</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新疆农业大学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农业院校化学学科研究生创新能力培养模式研究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刘尊奇</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XJ2020GY18</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新疆农业大学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以职业能力为导向构建农业硕士培养质量保障体系研究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王立文</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XJ2020GY19</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新疆医科大学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“四证合一”培养模式下临床专硕国家执业医师资格考试现状及相关影响因素研究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曹明芹</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XJ2020GY20</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新疆医科大学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西部地区高水平临床医学专业研究生导师队伍建设的研究——以新疆医科大学为例</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占  琼</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XJ2020GY21</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新疆医科大学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研究生“课程思政”建设实践研究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万  霞</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XJ2020GY22</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新疆医科大学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基于协同创新、岗位胜任力的护理专业学位硕士研究生临床实践培养模式的构建</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苏建萍</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0.6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XJ2020GY23</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健康中国背景下健康管理专业研究生培养模式研究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王育珊</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0.7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XJ2020GY24</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结合PBL教学提高老年医学专业研究生综合能力的探索</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高  颖</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0.6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XJ2020GY25</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医学高等院校研究生学位论文质量体系建设研究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付真彦</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0.6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8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XJ2020GY26</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基于教育高质量发展的新疆人文社科类研究生定量分析能力培养研究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  军</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1.5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XJ2020GY27</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混合式教学模式在专业硕士实践教学能力提高中的应用</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  瑞</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1.4</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1.4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XJ2020GY28</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研究生导师招生资格审核制的探索与实践——以新疆财经大学为例</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袁  莉</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1.5</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XJ2020GY29</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研究生《中级微观、宏观经济学》课程思政建设实践</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马  远</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1.5</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kern w:val="0"/>
                <w:sz w:val="32"/>
                <w:szCs w:val="32"/>
                <w:lang w:bidi="ar"/>
              </w:rPr>
            </w:pPr>
            <w:r>
              <w:rPr>
                <w:rFonts w:hint="eastAsia" w:ascii="宋体" w:hAnsi="宋体" w:eastAsia="宋体" w:cs="宋体"/>
                <w:i w:val="0"/>
                <w:color w:val="000000"/>
                <w:kern w:val="0"/>
                <w:sz w:val="24"/>
                <w:szCs w:val="24"/>
                <w:u w:val="none"/>
                <w:lang w:val="en-US" w:eastAsia="zh-CN" w:bidi="ar"/>
              </w:rPr>
              <w:t>XJ2020GY30</w:t>
            </w:r>
          </w:p>
        </w:tc>
        <w:tc>
          <w:tcPr>
            <w:tcW w:w="1973" w:type="dxa"/>
            <w:shd w:val="clear" w:color="auto" w:fill="auto"/>
            <w:vAlign w:val="center"/>
          </w:tcPr>
          <w:p>
            <w:pPr>
              <w:widowControl/>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新疆财经大学</w:t>
            </w:r>
          </w:p>
        </w:tc>
        <w:tc>
          <w:tcPr>
            <w:tcW w:w="6054" w:type="dxa"/>
            <w:shd w:val="clear" w:color="auto" w:fill="auto"/>
            <w:vAlign w:val="center"/>
          </w:tcPr>
          <w:p>
            <w:pPr>
              <w:widowControl/>
              <w:spacing w:line="360" w:lineRule="exact"/>
              <w:jc w:val="left"/>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自治区2020年高校毕业生就业质量年度分析</w:t>
            </w:r>
          </w:p>
        </w:tc>
        <w:tc>
          <w:tcPr>
            <w:tcW w:w="104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刘文翠</w:t>
            </w:r>
          </w:p>
        </w:tc>
        <w:tc>
          <w:tcPr>
            <w:tcW w:w="136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2</w:t>
            </w:r>
          </w:p>
        </w:tc>
        <w:tc>
          <w:tcPr>
            <w:tcW w:w="1320" w:type="dxa"/>
            <w:shd w:val="clear" w:color="auto" w:fill="auto"/>
            <w:vAlign w:val="center"/>
          </w:tcPr>
          <w:p>
            <w:pPr>
              <w:widowControl/>
              <w:spacing w:line="36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1.2</w:t>
            </w:r>
          </w:p>
        </w:tc>
        <w:tc>
          <w:tcPr>
            <w:tcW w:w="1240" w:type="dxa"/>
            <w:shd w:val="clear" w:color="auto" w:fill="auto"/>
            <w:vAlign w:val="center"/>
          </w:tcPr>
          <w:p>
            <w:pPr>
              <w:widowControl/>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3"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XJ2020GY31</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协</w:t>
            </w:r>
            <w:r>
              <w:rPr>
                <w:rFonts w:hint="default" w:ascii="Times New Roman" w:hAnsi="Times New Roman" w:eastAsia="方正仿宋_GBK" w:cs="Times New Roman"/>
                <w:b w:val="0"/>
                <w:bCs/>
                <w:color w:val="000000"/>
                <w:spacing w:val="-10"/>
                <w:kern w:val="0"/>
                <w:sz w:val="32"/>
                <w:szCs w:val="32"/>
                <w:lang w:bidi="ar"/>
              </w:rPr>
              <w:t>同育人背景下研究生培养模式的改革研究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徐  春</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XJ2020GY32</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新疆研究生教育质量内部保障体系研究——以新疆财经大学为例</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仿宋_GBK" w:cs="Times New Roman"/>
                <w:b w:val="0"/>
                <w:bCs/>
                <w:color w:val="000000"/>
                <w:kern w:val="0"/>
                <w:sz w:val="32"/>
                <w:szCs w:val="32"/>
                <w:lang w:bidi="ar"/>
              </w:rPr>
              <w:t>王诗</w:t>
            </w:r>
          </w:p>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卉蓉</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6"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XJ2020GY33</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研</w:t>
            </w:r>
            <w:r>
              <w:rPr>
                <w:rFonts w:hint="default" w:ascii="Times New Roman" w:hAnsi="Times New Roman" w:eastAsia="方正仿宋_GBK" w:cs="Times New Roman"/>
                <w:b w:val="0"/>
                <w:bCs/>
                <w:color w:val="000000"/>
                <w:spacing w:val="-10"/>
                <w:kern w:val="0"/>
                <w:sz w:val="32"/>
                <w:szCs w:val="32"/>
                <w:lang w:bidi="ar"/>
              </w:rPr>
              <w:t>究生教育科教融合、协同育人实践的研究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常卫华</w:t>
            </w:r>
          </w:p>
        </w:tc>
        <w:tc>
          <w:tcPr>
            <w:tcW w:w="136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自筹</w:t>
            </w:r>
          </w:p>
        </w:tc>
        <w:tc>
          <w:tcPr>
            <w:tcW w:w="132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XJ2020GY34</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马克思主义新闻观指导下的新闻专硕教学改革研究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王中伟</w:t>
            </w:r>
          </w:p>
        </w:tc>
        <w:tc>
          <w:tcPr>
            <w:tcW w:w="136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自筹</w:t>
            </w:r>
          </w:p>
        </w:tc>
        <w:tc>
          <w:tcPr>
            <w:tcW w:w="1320" w:type="dxa"/>
            <w:shd w:val="clear" w:color="auto" w:fill="auto"/>
            <w:vAlign w:val="center"/>
          </w:tcPr>
          <w:p>
            <w:pPr>
              <w:spacing w:line="320" w:lineRule="exact"/>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XJ2020GY35</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新疆艺术学院</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融媒体视域下新疆高校高层次影视艺术人才协同培养建设研究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李琼瑶</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1.4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1.4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XJ2020GY36</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喀什大学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研究生联合培养模式的实践与探索-以喀什大学为例  </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罗浩波</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0.7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2"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XJ2020GY37</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喀什大学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喀什大学研究生思想政治教育改革与实践 </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薛继海</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3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2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8"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XJ2020GY38</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伊犁师范大学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“立德树人”视域下硕士研究生学位论文质量管理研究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祁晓冰</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0.5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8"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XJ2020GY39</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伊犁师范大学</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pacing w:val="-10"/>
                <w:sz w:val="32"/>
                <w:szCs w:val="32"/>
              </w:rPr>
            </w:pPr>
            <w:r>
              <w:rPr>
                <w:rFonts w:hint="default" w:ascii="Times New Roman" w:hAnsi="Times New Roman" w:eastAsia="方正仿宋_GBK" w:cs="Times New Roman"/>
                <w:b w:val="0"/>
                <w:bCs/>
                <w:color w:val="000000"/>
                <w:spacing w:val="-10"/>
                <w:kern w:val="0"/>
                <w:sz w:val="32"/>
                <w:szCs w:val="32"/>
                <w:lang w:bidi="ar"/>
              </w:rPr>
              <w:t>硕士生教育研究方法课程有效教学模式研究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郭文斌</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1.5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0.5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XJ2020GY40</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昌吉学院</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专业学位硕士研究生校企协同育人模式探索——以昌吉学院材料与化工专业为例</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孙  毅</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1.3</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1.3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133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lang w:val="en-US" w:eastAsia="zh-CN"/>
              </w:rPr>
            </w:pPr>
            <w:r>
              <w:rPr>
                <w:rFonts w:hint="eastAsia" w:ascii="宋体" w:hAnsi="宋体" w:eastAsia="宋体" w:cs="宋体"/>
                <w:i w:val="0"/>
                <w:color w:val="000000"/>
                <w:kern w:val="0"/>
                <w:sz w:val="24"/>
                <w:szCs w:val="24"/>
                <w:u w:val="none"/>
                <w:lang w:val="en-US" w:eastAsia="zh-CN" w:bidi="ar"/>
              </w:rPr>
              <w:t>XJ2020GY41</w:t>
            </w:r>
          </w:p>
        </w:tc>
        <w:tc>
          <w:tcPr>
            <w:tcW w:w="1973"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昌吉学院</w:t>
            </w:r>
          </w:p>
        </w:tc>
        <w:tc>
          <w:tcPr>
            <w:tcW w:w="6054" w:type="dxa"/>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以职业能力培养为导向的材料与化工硕士专业学位研究生课程建设研究</w:t>
            </w:r>
          </w:p>
        </w:tc>
        <w:tc>
          <w:tcPr>
            <w:tcW w:w="10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何  伟</w:t>
            </w:r>
          </w:p>
        </w:tc>
        <w:tc>
          <w:tcPr>
            <w:tcW w:w="136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1.3 </w:t>
            </w:r>
          </w:p>
        </w:tc>
        <w:tc>
          <w:tcPr>
            <w:tcW w:w="132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1.3 </w:t>
            </w:r>
          </w:p>
        </w:tc>
        <w:tc>
          <w:tcPr>
            <w:tcW w:w="1240" w:type="dxa"/>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 </w:t>
            </w:r>
          </w:p>
        </w:tc>
      </w:tr>
    </w:tbl>
    <w:p>
      <w:pPr>
        <w:spacing w:line="600" w:lineRule="exact"/>
        <w:rPr>
          <w:rFonts w:hint="default" w:ascii="Times New Roman" w:hAnsi="Times New Roman" w:eastAsia="黑体" w:cs="Times New Roman"/>
          <w:b w:val="0"/>
          <w:bCs/>
          <w:snapToGrid w:val="0"/>
          <w:kern w:val="0"/>
          <w:sz w:val="36"/>
          <w:szCs w:val="36"/>
        </w:rPr>
      </w:pPr>
    </w:p>
    <w:p>
      <w:pPr>
        <w:spacing w:line="600" w:lineRule="exact"/>
        <w:rPr>
          <w:rFonts w:hint="default" w:ascii="Times New Roman" w:hAnsi="Times New Roman" w:eastAsia="黑体" w:cs="Times New Roman"/>
          <w:b w:val="0"/>
          <w:bCs/>
          <w:snapToGrid w:val="0"/>
          <w:kern w:val="0"/>
          <w:sz w:val="36"/>
          <w:szCs w:val="36"/>
        </w:rPr>
      </w:pPr>
    </w:p>
    <w:p>
      <w:pPr>
        <w:spacing w:line="600" w:lineRule="exact"/>
        <w:rPr>
          <w:rFonts w:hint="default" w:ascii="Times New Roman" w:hAnsi="Times New Roman" w:eastAsia="黑体" w:cs="Times New Roman"/>
          <w:b w:val="0"/>
          <w:bCs/>
          <w:snapToGrid w:val="0"/>
          <w:kern w:val="0"/>
          <w:sz w:val="36"/>
          <w:szCs w:val="36"/>
        </w:rPr>
      </w:pPr>
      <w:bookmarkStart w:id="0" w:name="_GoBack"/>
      <w:bookmarkEnd w:id="0"/>
    </w:p>
    <w:p>
      <w:pPr>
        <w:spacing w:line="600" w:lineRule="exact"/>
        <w:rPr>
          <w:rFonts w:hint="default" w:ascii="Times New Roman" w:hAnsi="Times New Roman" w:eastAsia="黑体" w:cs="Times New Roman"/>
          <w:b w:val="0"/>
          <w:bCs/>
          <w:snapToGrid w:val="0"/>
          <w:kern w:val="0"/>
          <w:sz w:val="36"/>
          <w:szCs w:val="36"/>
        </w:rPr>
      </w:pPr>
    </w:p>
    <w:p>
      <w:pPr>
        <w:rPr>
          <w:rFonts w:hint="default" w:ascii="Times New Roman" w:hAnsi="Times New Roman" w:cs="Times New Roman"/>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方正楷体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大标宋简体">
    <w:altName w:val="微软雅黑"/>
    <w:panose1 w:val="0201060103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05183"/>
    <w:rsid w:val="08205183"/>
    <w:rsid w:val="09801477"/>
    <w:rsid w:val="0E0779A7"/>
    <w:rsid w:val="0E3432F1"/>
    <w:rsid w:val="0FFF4325"/>
    <w:rsid w:val="111A13B3"/>
    <w:rsid w:val="145B37A6"/>
    <w:rsid w:val="186A294F"/>
    <w:rsid w:val="1A522C10"/>
    <w:rsid w:val="1AAD2BC3"/>
    <w:rsid w:val="1FB75C01"/>
    <w:rsid w:val="1FBA71FD"/>
    <w:rsid w:val="20A6065C"/>
    <w:rsid w:val="22386348"/>
    <w:rsid w:val="25F42107"/>
    <w:rsid w:val="26BB534D"/>
    <w:rsid w:val="2BA00BA7"/>
    <w:rsid w:val="2F5D6864"/>
    <w:rsid w:val="39E42E65"/>
    <w:rsid w:val="3A55732B"/>
    <w:rsid w:val="40A44ACF"/>
    <w:rsid w:val="458D6276"/>
    <w:rsid w:val="4B6F0552"/>
    <w:rsid w:val="506479BC"/>
    <w:rsid w:val="5349210A"/>
    <w:rsid w:val="54215A0D"/>
    <w:rsid w:val="54A50E3F"/>
    <w:rsid w:val="580B7948"/>
    <w:rsid w:val="5C3E1CB0"/>
    <w:rsid w:val="5D4D3080"/>
    <w:rsid w:val="5DE97DF1"/>
    <w:rsid w:val="619C7D06"/>
    <w:rsid w:val="636A15F1"/>
    <w:rsid w:val="64F575B9"/>
    <w:rsid w:val="66155F82"/>
    <w:rsid w:val="6ACC54B8"/>
    <w:rsid w:val="76554C3C"/>
    <w:rsid w:val="76DD59F9"/>
    <w:rsid w:val="7C963F56"/>
    <w:rsid w:val="7C9D4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widowControl/>
      <w:shd w:val="clear" w:color="auto" w:fill="FFFFFF"/>
      <w:jc w:val="center"/>
      <w:outlineLvl w:val="2"/>
    </w:pPr>
    <w:rPr>
      <w:rFonts w:ascii="宋体" w:hAnsi="宋体"/>
      <w:b/>
      <w:bCs/>
      <w:kern w:val="0"/>
      <w:sz w:val="16"/>
      <w:szCs w:val="16"/>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9">
    <w:name w:val="font141"/>
    <w:basedOn w:val="6"/>
    <w:qFormat/>
    <w:uiPriority w:val="0"/>
    <w:rPr>
      <w:rFonts w:hint="eastAsia" w:ascii="宋体" w:hAnsi="宋体" w:eastAsia="宋体" w:cs="宋体"/>
      <w:color w:val="000000"/>
      <w:sz w:val="24"/>
      <w:szCs w:val="24"/>
      <w:u w:val="none"/>
      <w:vertAlign w:val="subscript"/>
    </w:rPr>
  </w:style>
  <w:style w:type="character" w:customStyle="1" w:styleId="10">
    <w:name w:val="font131"/>
    <w:basedOn w:val="6"/>
    <w:qFormat/>
    <w:uiPriority w:val="0"/>
    <w:rPr>
      <w:rFonts w:hint="default" w:ascii="Times New Roman" w:hAnsi="Times New Roman" w:cs="Times New Roman"/>
      <w:color w:val="000000"/>
      <w:sz w:val="24"/>
      <w:szCs w:val="24"/>
      <w:u w:val="none"/>
    </w:rPr>
  </w:style>
  <w:style w:type="character" w:customStyle="1" w:styleId="11">
    <w:name w:val="font181"/>
    <w:basedOn w:val="6"/>
    <w:qFormat/>
    <w:uiPriority w:val="0"/>
    <w:rPr>
      <w:rFonts w:hint="eastAsia" w:ascii="宋体" w:hAnsi="宋体" w:eastAsia="宋体" w:cs="宋体"/>
      <w:color w:val="000000"/>
      <w:sz w:val="20"/>
      <w:szCs w:val="20"/>
      <w:u w:val="none"/>
    </w:rPr>
  </w:style>
  <w:style w:type="character" w:customStyle="1" w:styleId="12">
    <w:name w:val="font16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2020-05-26T03:29:00Z</dcterms:created>
  <dc:creator>pc</dc:creator>
  <cp:lastModifiedBy>JYTWW403</cp:lastModifiedBy>
  <cp:lastPrinted>2020-07-25T09:45:00Z</cp:lastPrinted>
  <dcterms:modified xsi:type="dcterms:W3CDTF">2020-07-25T11:01:56Z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