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825"/>
        <w:gridCol w:w="1716"/>
        <w:gridCol w:w="930"/>
        <w:gridCol w:w="1185"/>
        <w:gridCol w:w="1380"/>
        <w:gridCol w:w="1815"/>
        <w:gridCol w:w="90"/>
        <w:gridCol w:w="24"/>
        <w:gridCol w:w="1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1" w:type="dxa"/>
          <w:trHeight w:val="540" w:hRule="atLeast"/>
        </w:trPr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2019年推荐参评国家级一流本科课程名单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9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专业类代码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初级维吾尔语精读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夏迪娅·伊布拉音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基础俄语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哈斯也提·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哈孜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数学分析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大学物理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朱春花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工程流体力学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语言程序设计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田生伟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化工热力学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黄雪莉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赵晓琴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计算机基础Ⅰ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廖媛媛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植物化学保护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马德英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工程制图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918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支农劳动实践课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无对应学科专业课程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孟利明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生物化学与分子生物学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关亚群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病理学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妇产科学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马彩玲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曹力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李琳琳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中医各家学说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张星平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儿童发展与教育心理学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肖新燕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学前儿童语言教育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闵兰斌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足球专项理论与实践课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马业康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力学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路俊哲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外国美术史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艺术学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金融学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张文中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国际贸易实务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柴利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马克思主义基本原理概论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闫国疆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管理会计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姜锡明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陈玉萍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新疆工程学院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数控综合实训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余斌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喀什大学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幼儿园课程概论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谢娜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伊犁师范大学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幼儿园课程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冯晖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中国石油大学（北京）克拉玛依校区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高等数学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杨立敏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中国石油大学（北京）克拉玛依校区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机电传动控制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宋强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15" w:type="dxa"/>
          <w:trHeight w:val="703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昌吉学院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高等代数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1068"/>
    <w:rsid w:val="6A6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2020-04-16T10:04:00Z</dcterms:created>
  <dc:creator>高江江</dc:creator>
  <cp:lastModifiedBy>高江江</cp:lastModifiedBy>
  <dcterms:modified xsi:type="dcterms:W3CDTF">2020-04-16T10:05:01Z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