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自治区教育系统安全生产专项整治三年行动统计表</w:t>
      </w:r>
    </w:p>
    <w:p>
      <w:pPr>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填报单位：                                                           填报日期：</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926"/>
        <w:gridCol w:w="1940"/>
        <w:gridCol w:w="40"/>
        <w:gridCol w:w="1620"/>
        <w:gridCol w:w="1542"/>
        <w:gridCol w:w="1350"/>
        <w:gridCol w:w="1432"/>
        <w:gridCol w:w="1625"/>
        <w:gridCol w:w="9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31" w:type="dxa"/>
            <w:noWrap w:val="0"/>
            <w:vAlign w:val="center"/>
          </w:tcPr>
          <w:p>
            <w:pPr>
              <w:jc w:val="center"/>
              <w:rPr>
                <w:rFonts w:hint="eastAsia" w:ascii="宋体" w:hAnsi="宋体" w:cs="仿宋"/>
                <w:b/>
                <w:bCs/>
                <w:sz w:val="28"/>
                <w:szCs w:val="28"/>
              </w:rPr>
            </w:pPr>
            <w:r>
              <w:rPr>
                <w:rFonts w:hint="eastAsia" w:ascii="宋体" w:hAnsi="宋体" w:cs="仿宋"/>
                <w:b/>
                <w:bCs/>
                <w:sz w:val="28"/>
                <w:szCs w:val="28"/>
              </w:rPr>
              <w:t>序号</w:t>
            </w:r>
          </w:p>
        </w:tc>
        <w:tc>
          <w:tcPr>
            <w:tcW w:w="1926" w:type="dxa"/>
            <w:noWrap w:val="0"/>
            <w:vAlign w:val="center"/>
          </w:tcPr>
          <w:p>
            <w:pPr>
              <w:jc w:val="center"/>
              <w:rPr>
                <w:rFonts w:hint="eastAsia" w:ascii="宋体" w:hAnsi="宋体" w:cs="仿宋"/>
                <w:b/>
                <w:bCs/>
                <w:sz w:val="28"/>
                <w:szCs w:val="28"/>
              </w:rPr>
            </w:pPr>
            <w:r>
              <w:rPr>
                <w:rFonts w:hint="eastAsia" w:ascii="宋体" w:hAnsi="宋体" w:cs="仿宋"/>
                <w:b/>
                <w:bCs/>
                <w:sz w:val="28"/>
                <w:szCs w:val="28"/>
              </w:rPr>
              <w:t>情况分类</w:t>
            </w:r>
          </w:p>
        </w:tc>
        <w:tc>
          <w:tcPr>
            <w:tcW w:w="11217" w:type="dxa"/>
            <w:gridSpan w:val="9"/>
            <w:noWrap w:val="0"/>
            <w:vAlign w:val="center"/>
          </w:tcPr>
          <w:p>
            <w:pPr>
              <w:jc w:val="center"/>
              <w:rPr>
                <w:rFonts w:hint="eastAsia" w:ascii="宋体" w:hAnsi="宋体" w:cs="仿宋"/>
                <w:b/>
                <w:bCs/>
                <w:sz w:val="28"/>
                <w:szCs w:val="28"/>
              </w:rPr>
            </w:pPr>
            <w:r>
              <w:rPr>
                <w:rFonts w:hint="eastAsia" w:ascii="宋体" w:hAnsi="宋体" w:cs="仿宋"/>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学习宣传贯彻习近平总书记</w:t>
            </w:r>
            <w:r>
              <w:rPr>
                <w:rFonts w:hint="eastAsia" w:ascii="仿宋" w:hAnsi="仿宋" w:eastAsia="仿宋" w:cs="仿宋"/>
                <w:sz w:val="28"/>
                <w:szCs w:val="28"/>
                <w:lang w:val="en-US" w:eastAsia="zh-CN"/>
              </w:rPr>
              <w:t>关于</w:t>
            </w:r>
            <w:bookmarkStart w:id="0" w:name="_GoBack"/>
            <w:bookmarkEnd w:id="0"/>
            <w:r>
              <w:rPr>
                <w:rFonts w:hint="eastAsia" w:ascii="仿宋" w:hAnsi="仿宋" w:eastAsia="仿宋" w:cs="仿宋"/>
                <w:sz w:val="28"/>
                <w:szCs w:val="28"/>
              </w:rPr>
              <w:t>安全生产重要论述情况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各地各高校党委（党组）组织学习习近平总书记安全生产重要论述专题学习次数</w:t>
            </w:r>
          </w:p>
        </w:tc>
        <w:tc>
          <w:tcPr>
            <w:tcW w:w="6075" w:type="dxa"/>
            <w:gridSpan w:val="5"/>
            <w:noWrap w:val="0"/>
            <w:vAlign w:val="center"/>
          </w:tcPr>
          <w:p>
            <w:pPr>
              <w:spacing w:line="3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各地各高校在主流媒体在专题专栏刊登重点报道数量；各部门在门户网站专题专栏推出重点报道数量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5142" w:type="dxa"/>
            <w:gridSpan w:val="4"/>
            <w:noWrap w:val="0"/>
            <w:vAlign w:val="center"/>
          </w:tcPr>
          <w:p>
            <w:pP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安全生产排查治理隐患情况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一般隐患</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重大隐患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31" w:type="dxa"/>
            <w:vMerge w:val="continue"/>
            <w:noWrap w:val="0"/>
            <w:vAlign w:val="center"/>
          </w:tcPr>
          <w:p>
            <w:pPr>
              <w:jc w:val="cente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194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排查（项）</w:t>
            </w:r>
          </w:p>
        </w:tc>
        <w:tc>
          <w:tcPr>
            <w:tcW w:w="1660"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已治理（项）</w:t>
            </w:r>
          </w:p>
        </w:tc>
        <w:tc>
          <w:tcPr>
            <w:tcW w:w="154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整改率（%）</w:t>
            </w:r>
          </w:p>
        </w:tc>
        <w:tc>
          <w:tcPr>
            <w:tcW w:w="135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排查（项）</w:t>
            </w:r>
          </w:p>
        </w:tc>
        <w:tc>
          <w:tcPr>
            <w:tcW w:w="143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已治理（项）</w:t>
            </w:r>
          </w:p>
        </w:tc>
        <w:tc>
          <w:tcPr>
            <w:tcW w:w="16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整改率（%）</w:t>
            </w:r>
          </w:p>
        </w:tc>
        <w:tc>
          <w:tcPr>
            <w:tcW w:w="1668"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挂牌督办（项）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31" w:type="dxa"/>
            <w:vMerge w:val="continue"/>
            <w:noWrap w:val="0"/>
            <w:vAlign w:val="center"/>
          </w:tcPr>
          <w:p>
            <w:pPr>
              <w:jc w:val="cente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1940" w:type="dxa"/>
            <w:noWrap w:val="0"/>
            <w:vAlign w:val="center"/>
          </w:tcPr>
          <w:p>
            <w:pPr>
              <w:rPr>
                <w:rFonts w:hint="eastAsia" w:ascii="仿宋" w:hAnsi="仿宋" w:eastAsia="仿宋" w:cs="仿宋"/>
                <w:sz w:val="28"/>
                <w:szCs w:val="28"/>
              </w:rPr>
            </w:pPr>
          </w:p>
        </w:tc>
        <w:tc>
          <w:tcPr>
            <w:tcW w:w="1660" w:type="dxa"/>
            <w:gridSpan w:val="2"/>
            <w:noWrap w:val="0"/>
            <w:vAlign w:val="center"/>
          </w:tcPr>
          <w:p>
            <w:pPr>
              <w:rPr>
                <w:rFonts w:hint="eastAsia" w:ascii="仿宋" w:hAnsi="仿宋" w:eastAsia="仿宋" w:cs="仿宋"/>
                <w:sz w:val="28"/>
                <w:szCs w:val="28"/>
              </w:rPr>
            </w:pPr>
          </w:p>
        </w:tc>
        <w:tc>
          <w:tcPr>
            <w:tcW w:w="1542" w:type="dxa"/>
            <w:noWrap w:val="0"/>
            <w:vAlign w:val="center"/>
          </w:tcPr>
          <w:p>
            <w:pPr>
              <w:rPr>
                <w:rFonts w:hint="eastAsia" w:ascii="仿宋" w:hAnsi="仿宋" w:eastAsia="仿宋" w:cs="仿宋"/>
                <w:sz w:val="28"/>
                <w:szCs w:val="28"/>
              </w:rPr>
            </w:pPr>
          </w:p>
        </w:tc>
        <w:tc>
          <w:tcPr>
            <w:tcW w:w="1350" w:type="dxa"/>
            <w:noWrap w:val="0"/>
            <w:vAlign w:val="center"/>
          </w:tcPr>
          <w:p>
            <w:pPr>
              <w:rPr>
                <w:rFonts w:hint="eastAsia" w:ascii="仿宋" w:hAnsi="仿宋" w:eastAsia="仿宋" w:cs="仿宋"/>
                <w:sz w:val="28"/>
                <w:szCs w:val="28"/>
              </w:rPr>
            </w:pPr>
          </w:p>
        </w:tc>
        <w:tc>
          <w:tcPr>
            <w:tcW w:w="1432" w:type="dxa"/>
            <w:noWrap w:val="0"/>
            <w:vAlign w:val="center"/>
          </w:tcPr>
          <w:p>
            <w:pPr>
              <w:rPr>
                <w:rFonts w:hint="eastAsia" w:ascii="仿宋" w:hAnsi="仿宋" w:eastAsia="仿宋" w:cs="仿宋"/>
                <w:sz w:val="28"/>
                <w:szCs w:val="28"/>
              </w:rPr>
            </w:pPr>
          </w:p>
        </w:tc>
        <w:tc>
          <w:tcPr>
            <w:tcW w:w="1625" w:type="dxa"/>
            <w:noWrap w:val="0"/>
            <w:vAlign w:val="center"/>
          </w:tcPr>
          <w:p>
            <w:pPr>
              <w:rPr>
                <w:rFonts w:hint="eastAsia" w:ascii="仿宋" w:hAnsi="仿宋" w:eastAsia="仿宋" w:cs="仿宋"/>
                <w:sz w:val="28"/>
                <w:szCs w:val="28"/>
              </w:rPr>
            </w:pPr>
          </w:p>
        </w:tc>
        <w:tc>
          <w:tcPr>
            <w:tcW w:w="1668" w:type="dxa"/>
            <w:gridSpan w:val="2"/>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执法处罚情况</w:t>
            </w:r>
          </w:p>
        </w:tc>
        <w:tc>
          <w:tcPr>
            <w:tcW w:w="1940"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处罚违法违规行为（起）</w:t>
            </w:r>
          </w:p>
        </w:tc>
        <w:tc>
          <w:tcPr>
            <w:tcW w:w="1660" w:type="dxa"/>
            <w:gridSpan w:val="2"/>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关闭取缔（家）</w:t>
            </w:r>
          </w:p>
        </w:tc>
        <w:tc>
          <w:tcPr>
            <w:tcW w:w="1542"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停产整顿（家）</w:t>
            </w:r>
          </w:p>
        </w:tc>
        <w:tc>
          <w:tcPr>
            <w:tcW w:w="1350"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处罚罚款（万元）</w:t>
            </w:r>
          </w:p>
        </w:tc>
        <w:tc>
          <w:tcPr>
            <w:tcW w:w="1432"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联合惩罚失信企业（家）</w:t>
            </w:r>
          </w:p>
        </w:tc>
        <w:tc>
          <w:tcPr>
            <w:tcW w:w="3293" w:type="dxa"/>
            <w:gridSpan w:val="3"/>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问责曝光工作不力的</w:t>
            </w:r>
          </w:p>
          <w:p>
            <w:pPr>
              <w:jc w:val="center"/>
              <w:rPr>
                <w:rFonts w:hint="eastAsia" w:ascii="仿宋" w:hAnsi="仿宋" w:eastAsia="仿宋" w:cs="仿宋"/>
                <w:b/>
                <w:bCs/>
                <w:sz w:val="28"/>
                <w:szCs w:val="28"/>
              </w:rPr>
            </w:pPr>
            <w:r>
              <w:rPr>
                <w:rFonts w:hint="eastAsia" w:ascii="仿宋" w:hAnsi="仿宋" w:eastAsia="仿宋" w:cs="仿宋"/>
                <w:b/>
                <w:bCs/>
                <w:sz w:val="28"/>
                <w:szCs w:val="28"/>
              </w:rPr>
              <w:t>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40" w:type="dxa"/>
            <w:vMerge w:val="continue"/>
            <w:noWrap w:val="0"/>
            <w:vAlign w:val="center"/>
          </w:tcPr>
          <w:p>
            <w:pPr>
              <w:rPr>
                <w:rFonts w:hint="eastAsia" w:ascii="仿宋" w:hAnsi="仿宋" w:eastAsia="仿宋" w:cs="仿宋"/>
                <w:sz w:val="28"/>
                <w:szCs w:val="28"/>
              </w:rPr>
            </w:pPr>
          </w:p>
        </w:tc>
        <w:tc>
          <w:tcPr>
            <w:tcW w:w="1660" w:type="dxa"/>
            <w:gridSpan w:val="2"/>
            <w:vMerge w:val="continue"/>
            <w:noWrap w:val="0"/>
            <w:vAlign w:val="center"/>
          </w:tcPr>
          <w:p>
            <w:pPr>
              <w:rPr>
                <w:rFonts w:hint="eastAsia" w:ascii="仿宋" w:hAnsi="仿宋" w:eastAsia="仿宋" w:cs="仿宋"/>
                <w:sz w:val="28"/>
                <w:szCs w:val="28"/>
              </w:rPr>
            </w:pPr>
          </w:p>
        </w:tc>
        <w:tc>
          <w:tcPr>
            <w:tcW w:w="1542" w:type="dxa"/>
            <w:vMerge w:val="continue"/>
            <w:noWrap w:val="0"/>
            <w:vAlign w:val="center"/>
          </w:tcPr>
          <w:p>
            <w:pPr>
              <w:jc w:val="center"/>
              <w:rPr>
                <w:rFonts w:hint="eastAsia" w:ascii="仿宋" w:hAnsi="仿宋" w:eastAsia="仿宋" w:cs="仿宋"/>
                <w:sz w:val="28"/>
                <w:szCs w:val="28"/>
              </w:rPr>
            </w:pPr>
          </w:p>
        </w:tc>
        <w:tc>
          <w:tcPr>
            <w:tcW w:w="1350" w:type="dxa"/>
            <w:vMerge w:val="continue"/>
            <w:noWrap w:val="0"/>
            <w:vAlign w:val="center"/>
          </w:tcPr>
          <w:p>
            <w:pPr>
              <w:jc w:val="center"/>
              <w:rPr>
                <w:rFonts w:hint="eastAsia" w:ascii="仿宋" w:hAnsi="仿宋" w:eastAsia="仿宋" w:cs="仿宋"/>
                <w:sz w:val="28"/>
                <w:szCs w:val="28"/>
              </w:rPr>
            </w:pPr>
          </w:p>
        </w:tc>
        <w:tc>
          <w:tcPr>
            <w:tcW w:w="1432" w:type="dxa"/>
            <w:vMerge w:val="continue"/>
            <w:noWrap w:val="0"/>
            <w:vAlign w:val="center"/>
          </w:tcPr>
          <w:p>
            <w:pPr>
              <w:jc w:val="center"/>
              <w:rPr>
                <w:rFonts w:hint="eastAsia" w:ascii="仿宋" w:hAnsi="仿宋" w:eastAsia="仿宋" w:cs="仿宋"/>
                <w:sz w:val="28"/>
                <w:szCs w:val="28"/>
              </w:rPr>
            </w:pPr>
          </w:p>
        </w:tc>
        <w:tc>
          <w:tcPr>
            <w:tcW w:w="1718"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单位（家）</w:t>
            </w:r>
          </w:p>
        </w:tc>
        <w:tc>
          <w:tcPr>
            <w:tcW w:w="1575"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40" w:type="dxa"/>
            <w:noWrap w:val="0"/>
            <w:vAlign w:val="center"/>
          </w:tcPr>
          <w:p>
            <w:pPr>
              <w:rPr>
                <w:rFonts w:hint="eastAsia" w:ascii="仿宋" w:hAnsi="仿宋" w:eastAsia="仿宋" w:cs="仿宋"/>
                <w:sz w:val="28"/>
                <w:szCs w:val="28"/>
              </w:rPr>
            </w:pPr>
          </w:p>
        </w:tc>
        <w:tc>
          <w:tcPr>
            <w:tcW w:w="1660" w:type="dxa"/>
            <w:gridSpan w:val="2"/>
            <w:noWrap w:val="0"/>
            <w:vAlign w:val="center"/>
          </w:tcPr>
          <w:p>
            <w:pPr>
              <w:rPr>
                <w:rFonts w:hint="eastAsia" w:ascii="仿宋" w:hAnsi="仿宋" w:eastAsia="仿宋" w:cs="仿宋"/>
                <w:sz w:val="28"/>
                <w:szCs w:val="28"/>
              </w:rPr>
            </w:pPr>
          </w:p>
        </w:tc>
        <w:tc>
          <w:tcPr>
            <w:tcW w:w="1542" w:type="dxa"/>
            <w:noWrap w:val="0"/>
            <w:vAlign w:val="center"/>
          </w:tcPr>
          <w:p>
            <w:pPr>
              <w:rPr>
                <w:rFonts w:hint="eastAsia" w:ascii="仿宋" w:hAnsi="仿宋" w:eastAsia="仿宋" w:cs="仿宋"/>
                <w:sz w:val="28"/>
                <w:szCs w:val="28"/>
              </w:rPr>
            </w:pPr>
          </w:p>
        </w:tc>
        <w:tc>
          <w:tcPr>
            <w:tcW w:w="1350" w:type="dxa"/>
            <w:noWrap w:val="0"/>
            <w:vAlign w:val="center"/>
          </w:tcPr>
          <w:p>
            <w:pPr>
              <w:rPr>
                <w:rFonts w:hint="eastAsia" w:ascii="仿宋" w:hAnsi="仿宋" w:eastAsia="仿宋" w:cs="仿宋"/>
                <w:sz w:val="28"/>
                <w:szCs w:val="28"/>
              </w:rPr>
            </w:pPr>
          </w:p>
        </w:tc>
        <w:tc>
          <w:tcPr>
            <w:tcW w:w="1432" w:type="dxa"/>
            <w:noWrap w:val="0"/>
            <w:vAlign w:val="center"/>
          </w:tcPr>
          <w:p>
            <w:pPr>
              <w:rPr>
                <w:rFonts w:hint="eastAsia" w:ascii="仿宋" w:hAnsi="仿宋" w:eastAsia="仿宋" w:cs="仿宋"/>
                <w:sz w:val="28"/>
                <w:szCs w:val="28"/>
              </w:rPr>
            </w:pPr>
          </w:p>
        </w:tc>
        <w:tc>
          <w:tcPr>
            <w:tcW w:w="1718" w:type="dxa"/>
            <w:gridSpan w:val="2"/>
            <w:noWrap w:val="0"/>
            <w:vAlign w:val="center"/>
          </w:tcPr>
          <w:p>
            <w:pPr>
              <w:rPr>
                <w:rFonts w:hint="eastAsia" w:ascii="仿宋" w:hAnsi="仿宋" w:eastAsia="仿宋" w:cs="仿宋"/>
                <w:sz w:val="28"/>
                <w:szCs w:val="28"/>
              </w:rPr>
            </w:pPr>
          </w:p>
        </w:tc>
        <w:tc>
          <w:tcPr>
            <w:tcW w:w="1575" w:type="dxa"/>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4 </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安全风险辨识及管控情况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重大安全风险辨识评估数量</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有效管控数量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5142" w:type="dxa"/>
            <w:gridSpan w:val="4"/>
            <w:noWrap w:val="0"/>
            <w:vAlign w:val="center"/>
          </w:tcPr>
          <w:p>
            <w:pPr>
              <w:rPr>
                <w:rFonts w:hint="eastAsia" w:ascii="仿宋" w:hAnsi="仿宋" w:eastAsia="仿宋" w:cs="仿宋"/>
                <w:sz w:val="28"/>
                <w:szCs w:val="28"/>
              </w:rPr>
            </w:pPr>
          </w:p>
          <w:p>
            <w:pP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w:t>
            </w:r>
          </w:p>
        </w:tc>
        <w:tc>
          <w:tcPr>
            <w:tcW w:w="1926" w:type="dxa"/>
            <w:vMerge w:val="restart"/>
            <w:noWrap w:val="0"/>
            <w:vAlign w:val="center"/>
          </w:tcPr>
          <w:p>
            <w:pPr>
              <w:rPr>
                <w:rFonts w:hint="eastAsia" w:ascii="仿宋" w:hAnsi="仿宋" w:eastAsia="仿宋" w:cs="仿宋"/>
                <w:sz w:val="28"/>
                <w:szCs w:val="28"/>
              </w:rPr>
            </w:pPr>
            <w:r>
              <w:rPr>
                <w:rFonts w:hint="eastAsia" w:ascii="仿宋" w:hAnsi="仿宋" w:eastAsia="仿宋" w:cs="仿宋"/>
                <w:sz w:val="28"/>
                <w:szCs w:val="28"/>
              </w:rPr>
              <w:t>存在的主要问题及整改情况</w:t>
            </w:r>
          </w:p>
        </w:tc>
        <w:tc>
          <w:tcPr>
            <w:tcW w:w="1980"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主要问题</w:t>
            </w:r>
          </w:p>
        </w:tc>
        <w:tc>
          <w:tcPr>
            <w:tcW w:w="3162"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具体表现</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对应整改措施及整改完成情况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安全发展理念方面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完善和落实安全生产责任方面建立公共安全隐患排查和安全预防控制体系方面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加强安全生产基础建设方面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其他方面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bl>
    <w:p>
      <w:pPr>
        <w:spacing w:line="560" w:lineRule="exact"/>
        <w:ind w:firstLine="646"/>
        <w:rPr>
          <w:rFonts w:hint="eastAsia" w:eastAsia="仿宋"/>
          <w:sz w:val="32"/>
          <w:szCs w:val="32"/>
        </w:rPr>
      </w:pPr>
      <w:r>
        <w:rPr>
          <w:rFonts w:hint="eastAsia" w:eastAsia="仿宋"/>
          <w:sz w:val="32"/>
          <w:szCs w:val="32"/>
        </w:rPr>
        <w:t>联系人：                                联系方式：</w:t>
      </w:r>
    </w:p>
    <w:p>
      <w:pPr>
        <w:spacing w:line="560" w:lineRule="exact"/>
        <w:rPr>
          <w:rFonts w:hint="eastAsia" w:eastAsia="仿宋"/>
          <w:sz w:val="32"/>
          <w:szCs w:val="32"/>
        </w:rPr>
      </w:pPr>
      <w:r>
        <w:rPr>
          <w:rFonts w:hint="eastAsia" w:eastAsia="仿宋"/>
          <w:sz w:val="32"/>
          <w:szCs w:val="32"/>
        </w:rPr>
        <w:t>填表说明：1.表内“1”“2”“3”中需填写专项整治三年行动开展以来的累计数据。</w:t>
      </w:r>
    </w:p>
    <w:p>
      <w:pPr>
        <w:spacing w:line="560" w:lineRule="exact"/>
        <w:ind w:left="1920" w:hanging="1920" w:hangingChars="600"/>
        <w:jc w:val="left"/>
        <w:rPr>
          <w:rFonts w:hint="eastAsia" w:eastAsia="仿宋"/>
          <w:sz w:val="32"/>
          <w:szCs w:val="32"/>
        </w:rPr>
      </w:pPr>
      <w:r>
        <w:rPr>
          <w:rFonts w:hint="eastAsia" w:eastAsia="仿宋"/>
          <w:sz w:val="32"/>
          <w:szCs w:val="32"/>
        </w:rPr>
        <w:t xml:space="preserve">          2.存在的主要问题及整改情况部分，对照每一个方面的主要问题，分项列出具体问题的表现，再逐项对应填写整改措施及整改完成情况。</w:t>
      </w:r>
    </w:p>
    <w:p>
      <w:pPr>
        <w:spacing w:line="560" w:lineRule="exact"/>
        <w:ind w:left="1916" w:leftChars="760" w:hanging="320" w:hangingChars="100"/>
        <w:jc w:val="left"/>
        <w:rPr>
          <w:rFonts w:hint="eastAsia" w:eastAsia="仿宋"/>
          <w:sz w:val="32"/>
          <w:szCs w:val="32"/>
        </w:rPr>
      </w:pPr>
      <w:r>
        <w:rPr>
          <w:rFonts w:hint="eastAsia" w:eastAsia="仿宋"/>
          <w:sz w:val="32"/>
          <w:szCs w:val="32"/>
        </w:rPr>
        <w:t>3.该表格于每月20日前报送。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Yzg2YTRlOWFiNWUxNGJhM2ExOWE0ODM0YWZjYjAifQ=="/>
  </w:docVars>
  <w:rsids>
    <w:rsidRoot w:val="32D07319"/>
    <w:rsid w:val="32D07319"/>
    <w:rsid w:val="360E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2020-06-09T11:36:00Z</dcterms:created>
  <dc:creator>高江江</dc:creator>
  <cp:lastModifiedBy>深蓝物语</cp:lastModifiedBy>
  <dcterms:modified xsi:type="dcterms:W3CDTF">2023-09-25T10:05:45Z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53CC4F9D70AF4EB4861C5C7F4AA10A4A_12</vt:lpwstr>
  </property>
</Properties>
</file>